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D1B" w:rsidRPr="00AB6666" w:rsidRDefault="00EC7D1B" w:rsidP="00EC7D1B">
      <w:pPr>
        <w:spacing w:line="240" w:lineRule="atLeast"/>
        <w:jc w:val="center"/>
        <w:rPr>
          <w:rFonts w:asciiTheme="majorHAnsi" w:hAnsiTheme="majorHAnsi" w:cs="Arial"/>
          <w:b/>
          <w:bCs/>
          <w:sz w:val="24"/>
        </w:rPr>
      </w:pPr>
      <w:r w:rsidRPr="00AB6666">
        <w:rPr>
          <w:rFonts w:asciiTheme="majorHAnsi" w:hAnsiTheme="majorHAnsi"/>
          <w:b/>
          <w:sz w:val="24"/>
        </w:rPr>
        <w:t xml:space="preserve">SEC </w:t>
      </w:r>
      <w:r w:rsidRPr="00AB6666">
        <w:rPr>
          <w:rFonts w:asciiTheme="majorHAnsi" w:hAnsiTheme="majorHAnsi" w:cs="Arial"/>
          <w:b/>
          <w:bCs/>
          <w:sz w:val="24"/>
        </w:rPr>
        <w:t>FORM 12-1 ETF</w:t>
      </w:r>
    </w:p>
    <w:p w:rsidR="00EC7D1B" w:rsidRPr="00AB6666" w:rsidRDefault="00EC7D1B" w:rsidP="00EC7D1B">
      <w:pPr>
        <w:spacing w:line="240" w:lineRule="atLeast"/>
        <w:jc w:val="center"/>
        <w:rPr>
          <w:rFonts w:asciiTheme="majorHAnsi" w:hAnsiTheme="majorHAnsi"/>
          <w:b/>
        </w:rPr>
      </w:pPr>
      <w:r w:rsidRPr="00AB6666">
        <w:rPr>
          <w:rFonts w:asciiTheme="majorHAnsi" w:hAnsiTheme="majorHAnsi"/>
          <w:b/>
        </w:rPr>
        <w:t xml:space="preserve">REGISTRATION STATEMENT </w:t>
      </w:r>
    </w:p>
    <w:p w:rsidR="00EC7D1B" w:rsidRPr="00AB6666" w:rsidRDefault="00EC7D1B" w:rsidP="00EC7D1B">
      <w:pPr>
        <w:spacing w:line="240" w:lineRule="atLeast"/>
        <w:jc w:val="center"/>
        <w:rPr>
          <w:rFonts w:asciiTheme="majorHAnsi" w:hAnsiTheme="majorHAnsi"/>
          <w:b/>
        </w:rPr>
      </w:pPr>
    </w:p>
    <w:p w:rsidR="00EC7D1B" w:rsidRPr="00AB6666" w:rsidRDefault="00EC7D1B" w:rsidP="00EC7D1B">
      <w:pPr>
        <w:spacing w:line="240" w:lineRule="atLeast"/>
        <w:jc w:val="center"/>
        <w:rPr>
          <w:rFonts w:asciiTheme="majorHAnsi" w:hAnsiTheme="majorHAnsi"/>
          <w:b/>
        </w:rPr>
      </w:pPr>
    </w:p>
    <w:p w:rsidR="00EC7D1B" w:rsidRPr="00AB6666" w:rsidRDefault="00EC7D1B" w:rsidP="00EC7D1B">
      <w:pPr>
        <w:pStyle w:val="Heading5"/>
        <w:rPr>
          <w:rFonts w:asciiTheme="majorHAnsi" w:hAnsiTheme="majorHAnsi"/>
        </w:rPr>
      </w:pPr>
      <w:r w:rsidRPr="00AB6666">
        <w:rPr>
          <w:rFonts w:asciiTheme="majorHAnsi" w:hAnsiTheme="majorHAnsi"/>
        </w:rPr>
        <w:t>GENERAL INSTRUCTIONS</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ind w:left="720" w:hanging="720"/>
        <w:jc w:val="both"/>
        <w:rPr>
          <w:rFonts w:asciiTheme="majorHAnsi" w:hAnsiTheme="majorHAnsi"/>
        </w:rPr>
      </w:pPr>
      <w:r w:rsidRPr="00AB6666">
        <w:rPr>
          <w:rFonts w:asciiTheme="majorHAnsi" w:hAnsiTheme="majorHAnsi"/>
        </w:rPr>
        <w:t xml:space="preserve">1.  </w:t>
      </w:r>
      <w:r w:rsidRPr="00AB6666">
        <w:rPr>
          <w:rFonts w:asciiTheme="majorHAnsi" w:hAnsiTheme="majorHAnsi"/>
        </w:rPr>
        <w:tab/>
        <w:t xml:space="preserve">The SEC Form 12-1 ETF shall be used for the registration of Exchange Traded Funds (ETF) that shall be sold or offered for sale pursuant to SEC Memorandum Circular No. 10, Series of 2012 otherwise known as the Rules and Regulations on Exchange Traded Funds (ETF Rules), Investment Company Act (ICA), Securities Regulation Code (SRC) and their implementing rules and regulations. </w:t>
      </w:r>
    </w:p>
    <w:p w:rsidR="00EC7D1B" w:rsidRPr="00AB6666" w:rsidRDefault="00EC7D1B" w:rsidP="00EC7D1B">
      <w:pPr>
        <w:spacing w:line="240" w:lineRule="atLeast"/>
        <w:ind w:left="720" w:hanging="720"/>
        <w:jc w:val="both"/>
        <w:rPr>
          <w:rFonts w:asciiTheme="majorHAnsi" w:hAnsiTheme="majorHAnsi"/>
        </w:rPr>
      </w:pPr>
    </w:p>
    <w:p w:rsidR="00EC7D1B" w:rsidRPr="00AB6666" w:rsidRDefault="00EC7D1B" w:rsidP="00EC7D1B">
      <w:pPr>
        <w:spacing w:line="240" w:lineRule="atLeast"/>
        <w:ind w:left="720" w:hanging="720"/>
        <w:jc w:val="both"/>
        <w:rPr>
          <w:rFonts w:asciiTheme="majorHAnsi" w:hAnsiTheme="majorHAnsi"/>
        </w:rPr>
      </w:pPr>
      <w:r w:rsidRPr="00AB6666">
        <w:rPr>
          <w:rFonts w:asciiTheme="majorHAnsi" w:hAnsiTheme="majorHAnsi"/>
        </w:rPr>
        <w:t>2.</w:t>
      </w:r>
      <w:r w:rsidRPr="00AB6666">
        <w:rPr>
          <w:rFonts w:asciiTheme="majorHAnsi" w:hAnsiTheme="majorHAnsi"/>
        </w:rPr>
        <w:tab/>
        <w:t>Attention is directed to the following ETF and SRC Rules</w:t>
      </w:r>
      <w:r w:rsidRPr="00AB6666">
        <w:rPr>
          <w:rFonts w:asciiTheme="majorHAnsi" w:hAnsiTheme="majorHAnsi"/>
          <w:color w:val="FF0000"/>
        </w:rPr>
        <w:t xml:space="preserve"> </w:t>
      </w:r>
      <w:r w:rsidRPr="00AB6666">
        <w:rPr>
          <w:rFonts w:asciiTheme="majorHAnsi" w:hAnsiTheme="majorHAnsi"/>
        </w:rPr>
        <w:t>provisions which refer to the registration of ETFs, filings of periodic and current reports, proxy solicitations, officer and principal stockholder filings and financial statements required by Section 68 thereof.</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Section 5 of the ETF Rules</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Section 6 of the ETF Rules</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Section 7 of the ETF Rules</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Section 8 of the ETF Rules</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Section 9 of the ETF Rules</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Section 11 of the ETF Rules</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Section 12 of the ETF Rules</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Section  13 of the ETF Rules</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Section 14 of the ETF Rules</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Section 15 of the ETF Rules</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Section 16 of the ETF Rules</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Section 17 of the ETF Rules</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Section 18 of the ETF Rules</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Section 19 of the ETF Rules</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Section 23 of the ETF Rules</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Section 24 of the ETF Rules</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Section 25 of the ETF Rules</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SRC Rule 8.1</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SRC Rule 8.3</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SRC Rule 12.1</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SRC Rule 12.2</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SRC Rule 13</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SRC Rule 14</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SRC Rule 17.1</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SRC Rule 18.1</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SRC Rule 20</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SRC Rule 23</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SRC Rule 68, as amended</w:t>
      </w:r>
    </w:p>
    <w:p w:rsidR="00EC7D1B" w:rsidRPr="00AB6666" w:rsidRDefault="00EC7D1B" w:rsidP="00EC7D1B">
      <w:pPr>
        <w:numPr>
          <w:ilvl w:val="0"/>
          <w:numId w:val="1"/>
        </w:numPr>
        <w:spacing w:line="240" w:lineRule="atLeast"/>
        <w:jc w:val="both"/>
        <w:rPr>
          <w:rFonts w:asciiTheme="majorHAnsi" w:hAnsiTheme="majorHAnsi"/>
        </w:rPr>
      </w:pPr>
      <w:r w:rsidRPr="00AB6666">
        <w:rPr>
          <w:rFonts w:asciiTheme="majorHAnsi" w:hAnsiTheme="majorHAnsi"/>
        </w:rPr>
        <w:t>SRC Rule 72.1</w:t>
      </w:r>
    </w:p>
    <w:p w:rsidR="00EC7D1B" w:rsidRPr="00AB6666" w:rsidRDefault="00EC7D1B" w:rsidP="00EC7D1B">
      <w:pPr>
        <w:spacing w:line="240" w:lineRule="atLeast"/>
        <w:ind w:left="720"/>
        <w:jc w:val="both"/>
        <w:rPr>
          <w:rFonts w:asciiTheme="majorHAnsi" w:hAnsiTheme="majorHAnsi"/>
        </w:rPr>
      </w:pPr>
    </w:p>
    <w:p w:rsidR="00EC7D1B" w:rsidRPr="00AB6666" w:rsidRDefault="00EC7D1B" w:rsidP="00EC7D1B">
      <w:pPr>
        <w:spacing w:line="240" w:lineRule="atLeast"/>
        <w:ind w:left="630" w:hanging="630"/>
        <w:jc w:val="both"/>
        <w:rPr>
          <w:rFonts w:asciiTheme="majorHAnsi" w:hAnsiTheme="majorHAnsi"/>
        </w:rPr>
      </w:pPr>
      <w:r w:rsidRPr="00AB6666">
        <w:rPr>
          <w:rFonts w:asciiTheme="majorHAnsi" w:hAnsiTheme="majorHAnsi"/>
        </w:rPr>
        <w:t xml:space="preserve">3.  </w:t>
      </w:r>
      <w:r w:rsidRPr="00AB6666">
        <w:rPr>
          <w:rFonts w:asciiTheme="majorHAnsi" w:hAnsiTheme="majorHAnsi"/>
        </w:rPr>
        <w:tab/>
        <w:t xml:space="preserve">Attention is particularly directed to SRC Rule 12.1 for the requirements applicable to the contents of the non-financial information portions of a registration statement under the SRC, and SRC Rule 68, as amended for the contents of the financial information portions of a registration statement.  Where SEC Form 12-1 ETF directs the registrant to furnish information required by SRC Rule 12.1, “Annex C, as </w:t>
      </w:r>
      <w:r w:rsidRPr="00AB6666">
        <w:rPr>
          <w:rFonts w:asciiTheme="majorHAnsi" w:hAnsiTheme="majorHAnsi"/>
        </w:rPr>
        <w:lastRenderedPageBreak/>
        <w:t xml:space="preserve">amended, and the item of that Rule so </w:t>
      </w:r>
      <w:proofErr w:type="gramStart"/>
      <w:r w:rsidRPr="00AB6666">
        <w:rPr>
          <w:rFonts w:asciiTheme="majorHAnsi" w:hAnsiTheme="majorHAnsi"/>
        </w:rPr>
        <w:t>provides</w:t>
      </w:r>
      <w:proofErr w:type="gramEnd"/>
      <w:r w:rsidRPr="00AB6666">
        <w:rPr>
          <w:rFonts w:asciiTheme="majorHAnsi" w:hAnsiTheme="majorHAnsi"/>
        </w:rPr>
        <w:t xml:space="preserve">, information need only be furnished to the extent applicable.  Prior to preparation of their filings, registrants should also review the provisions of SRC Rule 72.1, "General Rules and Regulations </w:t>
      </w:r>
      <w:proofErr w:type="gramStart"/>
      <w:r w:rsidRPr="00AB6666">
        <w:rPr>
          <w:rFonts w:asciiTheme="majorHAnsi" w:hAnsiTheme="majorHAnsi"/>
        </w:rPr>
        <w:t>For Filing of SEC Forms With</w:t>
      </w:r>
      <w:proofErr w:type="gramEnd"/>
      <w:r w:rsidRPr="00AB6666">
        <w:rPr>
          <w:rFonts w:asciiTheme="majorHAnsi" w:hAnsiTheme="majorHAnsi"/>
        </w:rPr>
        <w:t xml:space="preserve"> the Securities and Exchange Commission."  Definitions contained in Section 5 of the ETF Rules,</w:t>
      </w:r>
      <w:r w:rsidRPr="00AB6666">
        <w:rPr>
          <w:rFonts w:asciiTheme="majorHAnsi" w:hAnsiTheme="majorHAnsi"/>
          <w:color w:val="FF0000"/>
        </w:rPr>
        <w:t xml:space="preserve">   </w:t>
      </w:r>
      <w:r w:rsidRPr="00AB6666">
        <w:rPr>
          <w:rFonts w:asciiTheme="majorHAnsi" w:hAnsiTheme="majorHAnsi"/>
        </w:rPr>
        <w:t>“Annex B” and SRC Rule 68, as amended, to the extent they are not defined herein, shall govern the meaning of similar terms used herein.</w:t>
      </w:r>
    </w:p>
    <w:p w:rsidR="00EC7D1B" w:rsidRPr="00AB6666" w:rsidRDefault="00EC7D1B" w:rsidP="00EC7D1B">
      <w:pPr>
        <w:spacing w:line="240" w:lineRule="atLeast"/>
        <w:ind w:left="630" w:hanging="630"/>
        <w:jc w:val="both"/>
        <w:rPr>
          <w:rFonts w:asciiTheme="majorHAnsi" w:hAnsiTheme="majorHAnsi"/>
        </w:rPr>
      </w:pPr>
    </w:p>
    <w:p w:rsidR="00EC7D1B" w:rsidRPr="00AB6666" w:rsidRDefault="00EC7D1B" w:rsidP="00EC7D1B">
      <w:pPr>
        <w:spacing w:line="240" w:lineRule="atLeast"/>
        <w:ind w:left="630" w:hanging="630"/>
        <w:jc w:val="both"/>
        <w:rPr>
          <w:rFonts w:asciiTheme="majorHAnsi" w:hAnsiTheme="majorHAnsi"/>
        </w:rPr>
      </w:pPr>
      <w:r w:rsidRPr="00AB6666">
        <w:rPr>
          <w:rFonts w:asciiTheme="majorHAnsi" w:hAnsiTheme="majorHAnsi"/>
        </w:rPr>
        <w:t xml:space="preserve">4.  </w:t>
      </w:r>
      <w:r w:rsidRPr="00AB6666">
        <w:rPr>
          <w:rFonts w:asciiTheme="majorHAnsi" w:hAnsiTheme="majorHAnsi"/>
        </w:rPr>
        <w:tab/>
        <w:t>The registration statement shall be signed by the registrant’s principal executive officer or officers, its principal financial officer, its comptroller or principal accounting officer, and the majority of its board of directors or persons performing similar functions.</w:t>
      </w:r>
    </w:p>
    <w:p w:rsidR="00EC7D1B" w:rsidRPr="00AB6666" w:rsidRDefault="00EC7D1B" w:rsidP="00EC7D1B">
      <w:pPr>
        <w:spacing w:line="240" w:lineRule="atLeast"/>
        <w:ind w:left="630" w:hanging="630"/>
        <w:jc w:val="both"/>
        <w:rPr>
          <w:rFonts w:asciiTheme="majorHAnsi" w:hAnsiTheme="majorHAnsi"/>
        </w:rPr>
      </w:pPr>
    </w:p>
    <w:p w:rsidR="00EC7D1B" w:rsidRPr="00AB6666" w:rsidRDefault="00EC7D1B" w:rsidP="00EC7D1B">
      <w:pPr>
        <w:pStyle w:val="BodyText"/>
        <w:overflowPunct/>
        <w:autoSpaceDE/>
        <w:autoSpaceDN/>
        <w:adjustRightInd/>
        <w:ind w:left="630" w:hanging="630"/>
        <w:textAlignment w:val="auto"/>
        <w:rPr>
          <w:rFonts w:asciiTheme="majorHAnsi" w:hAnsiTheme="majorHAnsi"/>
        </w:rPr>
      </w:pPr>
      <w:r w:rsidRPr="00AB6666">
        <w:rPr>
          <w:rFonts w:asciiTheme="majorHAnsi" w:hAnsiTheme="majorHAnsi"/>
        </w:rPr>
        <w:t xml:space="preserve">5. </w:t>
      </w:r>
      <w:r w:rsidRPr="00AB6666">
        <w:rPr>
          <w:rFonts w:asciiTheme="majorHAnsi" w:hAnsiTheme="majorHAnsi"/>
        </w:rPr>
        <w:tab/>
        <w:t xml:space="preserve">The name of each person who signs the registration statement shall be typed or printed beneath the signature.  Any person who occupies more than one of the specified positions shall indicate the capacity in which he signs the registration statement.  At least one copy of the documents filed shall be manually signed and the unsigned copies shall be </w:t>
      </w:r>
      <w:proofErr w:type="spellStart"/>
      <w:r w:rsidRPr="00AB6666">
        <w:rPr>
          <w:rFonts w:asciiTheme="majorHAnsi" w:hAnsiTheme="majorHAnsi"/>
        </w:rPr>
        <w:t>conformed</w:t>
      </w:r>
      <w:proofErr w:type="spellEnd"/>
      <w:r w:rsidRPr="00AB6666">
        <w:rPr>
          <w:rFonts w:asciiTheme="majorHAnsi" w:hAnsiTheme="majorHAnsi"/>
        </w:rPr>
        <w:t>.</w:t>
      </w:r>
    </w:p>
    <w:p w:rsidR="00EC7D1B" w:rsidRPr="00AB6666" w:rsidRDefault="00EC7D1B" w:rsidP="00EC7D1B">
      <w:pPr>
        <w:spacing w:line="240" w:lineRule="atLeast"/>
        <w:ind w:left="630" w:hanging="630"/>
        <w:jc w:val="both"/>
        <w:rPr>
          <w:rFonts w:asciiTheme="majorHAnsi" w:hAnsiTheme="majorHAnsi"/>
        </w:rPr>
      </w:pPr>
    </w:p>
    <w:p w:rsidR="00EC7D1B" w:rsidRPr="00AB6666" w:rsidRDefault="00EC7D1B" w:rsidP="00EC7D1B">
      <w:pPr>
        <w:spacing w:line="240" w:lineRule="atLeast"/>
        <w:ind w:left="630" w:hanging="630"/>
        <w:jc w:val="both"/>
        <w:rPr>
          <w:rFonts w:asciiTheme="majorHAnsi" w:hAnsiTheme="majorHAnsi"/>
          <w:bCs/>
          <w:iCs/>
        </w:rPr>
      </w:pPr>
      <w:r w:rsidRPr="00AB6666">
        <w:rPr>
          <w:rFonts w:asciiTheme="majorHAnsi" w:hAnsiTheme="majorHAnsi"/>
        </w:rPr>
        <w:t>6.</w:t>
      </w:r>
      <w:r w:rsidRPr="00AB6666">
        <w:rPr>
          <w:rFonts w:asciiTheme="majorHAnsi" w:hAnsiTheme="majorHAnsi"/>
        </w:rPr>
        <w:tab/>
        <w:t>Every amendment to a registration statement shall be signed by the persons specified in subparagraph A of Section 7.3 of the ETF Rules</w:t>
      </w:r>
      <w:r w:rsidRPr="00AB6666">
        <w:rPr>
          <w:rFonts w:asciiTheme="majorHAnsi" w:hAnsiTheme="majorHAnsi"/>
          <w:bCs/>
          <w:iCs/>
        </w:rPr>
        <w:t xml:space="preserve"> or by any executive officer duly authorized by the Board of Directors.  The final registration statement and the final prospectus shall, however, be signed by all required signatories under </w:t>
      </w:r>
      <w:r w:rsidRPr="00AB6666">
        <w:rPr>
          <w:rFonts w:asciiTheme="majorHAnsi" w:hAnsiTheme="majorHAnsi"/>
        </w:rPr>
        <w:t>subparagraph A of Section 7.3 of the ETF Rules</w:t>
      </w:r>
      <w:r w:rsidRPr="00AB6666">
        <w:rPr>
          <w:rFonts w:asciiTheme="majorHAnsi" w:hAnsiTheme="majorHAnsi"/>
          <w:bCs/>
          <w:iCs/>
        </w:rPr>
        <w:t>.</w:t>
      </w:r>
    </w:p>
    <w:p w:rsidR="00EC7D1B" w:rsidRPr="00AB6666" w:rsidRDefault="00EC7D1B" w:rsidP="00EC7D1B">
      <w:pPr>
        <w:spacing w:line="240" w:lineRule="atLeast"/>
        <w:ind w:left="630" w:hanging="630"/>
        <w:jc w:val="both"/>
        <w:rPr>
          <w:rFonts w:asciiTheme="majorHAnsi" w:hAnsiTheme="majorHAnsi"/>
        </w:rPr>
      </w:pPr>
    </w:p>
    <w:p w:rsidR="00EC7D1B" w:rsidRPr="00AB6666" w:rsidRDefault="00EC7D1B" w:rsidP="00EC7D1B">
      <w:pPr>
        <w:spacing w:line="240" w:lineRule="atLeast"/>
        <w:ind w:left="630" w:hanging="630"/>
        <w:jc w:val="both"/>
        <w:rPr>
          <w:rFonts w:asciiTheme="majorHAnsi" w:hAnsiTheme="majorHAnsi"/>
        </w:rPr>
      </w:pPr>
      <w:r w:rsidRPr="00AB6666">
        <w:rPr>
          <w:rFonts w:asciiTheme="majorHAnsi" w:hAnsiTheme="majorHAnsi"/>
        </w:rPr>
        <w:t xml:space="preserve">7. </w:t>
      </w:r>
      <w:r w:rsidRPr="00AB6666">
        <w:rPr>
          <w:rFonts w:asciiTheme="majorHAnsi" w:hAnsiTheme="majorHAnsi"/>
        </w:rPr>
        <w:tab/>
        <w:t>Three (3) copies of a duly accomplished SEC Form 12-1 ETF and Prospectus shall be filed, including exhibits and all other papers and documents filed as part thereof.</w:t>
      </w:r>
    </w:p>
    <w:p w:rsidR="00EC7D1B" w:rsidRPr="00AB6666" w:rsidRDefault="00EC7D1B" w:rsidP="00EC7D1B">
      <w:pPr>
        <w:spacing w:line="240" w:lineRule="atLeast"/>
        <w:ind w:left="630" w:hanging="630"/>
        <w:jc w:val="both"/>
        <w:rPr>
          <w:rFonts w:asciiTheme="majorHAnsi" w:hAnsiTheme="majorHAnsi"/>
        </w:rPr>
      </w:pPr>
    </w:p>
    <w:p w:rsidR="00EC7D1B" w:rsidRPr="00AB6666" w:rsidRDefault="00EC7D1B" w:rsidP="00EC7D1B">
      <w:pPr>
        <w:spacing w:line="240" w:lineRule="atLeast"/>
        <w:ind w:left="630" w:hanging="630"/>
        <w:jc w:val="both"/>
        <w:rPr>
          <w:rFonts w:asciiTheme="majorHAnsi" w:hAnsiTheme="majorHAnsi"/>
        </w:rPr>
      </w:pPr>
      <w:r w:rsidRPr="00AB6666">
        <w:rPr>
          <w:rFonts w:asciiTheme="majorHAnsi" w:hAnsiTheme="majorHAnsi"/>
        </w:rPr>
        <w:t xml:space="preserve">8.  </w:t>
      </w:r>
      <w:r w:rsidRPr="00AB6666">
        <w:rPr>
          <w:rFonts w:asciiTheme="majorHAnsi" w:hAnsiTheme="majorHAnsi"/>
        </w:rPr>
        <w:tab/>
        <w:t xml:space="preserve">No pre-evaluation shall be conducted on the registration statement prior to filing and the Commission may reject any application for registration for technicalities.  </w:t>
      </w:r>
    </w:p>
    <w:p w:rsidR="00EC7D1B" w:rsidRPr="00AB6666" w:rsidRDefault="00EC7D1B" w:rsidP="00EC7D1B">
      <w:pPr>
        <w:spacing w:line="240" w:lineRule="atLeast"/>
        <w:ind w:left="630" w:hanging="630"/>
        <w:jc w:val="both"/>
        <w:rPr>
          <w:rFonts w:asciiTheme="majorHAnsi" w:hAnsiTheme="majorHAnsi"/>
        </w:rPr>
      </w:pPr>
    </w:p>
    <w:p w:rsidR="00EC7D1B" w:rsidRPr="00AB6666" w:rsidRDefault="00EC7D1B" w:rsidP="00EC7D1B">
      <w:pPr>
        <w:spacing w:line="240" w:lineRule="atLeast"/>
        <w:ind w:left="630" w:hanging="630"/>
        <w:jc w:val="both"/>
        <w:rPr>
          <w:rFonts w:asciiTheme="majorHAnsi" w:hAnsiTheme="majorHAnsi"/>
        </w:rPr>
      </w:pPr>
      <w:r w:rsidRPr="00AB6666">
        <w:rPr>
          <w:rFonts w:asciiTheme="majorHAnsi" w:hAnsiTheme="majorHAnsi"/>
        </w:rPr>
        <w:t>9.</w:t>
      </w:r>
      <w:r w:rsidRPr="00AB6666">
        <w:rPr>
          <w:rFonts w:asciiTheme="majorHAnsi" w:hAnsiTheme="majorHAnsi"/>
        </w:rPr>
        <w:tab/>
        <w:t>In the event that the registration statement is rejected pursuant to Section 13 of the SRC, the fee paid thereon shall be forfeited.</w:t>
      </w:r>
    </w:p>
    <w:p w:rsidR="00EC7D1B" w:rsidRDefault="00EC7D1B">
      <w:pPr>
        <w:sectPr w:rsidR="00EC7D1B" w:rsidSect="00EC7D1B">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rsidR="00EC7D1B" w:rsidRPr="00AB6666" w:rsidRDefault="00EC7D1B" w:rsidP="00EC7D1B">
      <w:pPr>
        <w:pStyle w:val="Title"/>
        <w:rPr>
          <w:rFonts w:asciiTheme="majorHAnsi" w:hAnsiTheme="majorHAnsi" w:cs="Arial"/>
          <w:b w:val="0"/>
          <w:bCs/>
          <w:sz w:val="24"/>
        </w:rPr>
      </w:pPr>
      <w:r w:rsidRPr="00AB6666">
        <w:rPr>
          <w:rFonts w:asciiTheme="majorHAnsi" w:hAnsiTheme="majorHAnsi"/>
          <w:sz w:val="24"/>
        </w:rPr>
        <w:lastRenderedPageBreak/>
        <w:t xml:space="preserve">SEC </w:t>
      </w:r>
      <w:r w:rsidRPr="00AB6666">
        <w:rPr>
          <w:rFonts w:asciiTheme="majorHAnsi" w:hAnsiTheme="majorHAnsi" w:cs="Arial"/>
          <w:bCs/>
          <w:sz w:val="24"/>
        </w:rPr>
        <w:t>FORM 12-1 ETF</w:t>
      </w:r>
    </w:p>
    <w:p w:rsidR="00EC7D1B" w:rsidRPr="00AB6666" w:rsidRDefault="00EC7D1B" w:rsidP="00EC7D1B">
      <w:pPr>
        <w:spacing w:line="240" w:lineRule="atLeast"/>
        <w:jc w:val="center"/>
        <w:rPr>
          <w:rFonts w:asciiTheme="majorHAnsi" w:hAnsiTheme="majorHAnsi"/>
          <w:b/>
        </w:rPr>
      </w:pPr>
      <w:r w:rsidRPr="00AB6666">
        <w:rPr>
          <w:rFonts w:asciiTheme="majorHAnsi" w:hAnsiTheme="majorHAnsi"/>
          <w:b/>
        </w:rPr>
        <w:t xml:space="preserve">REGISTRATION STATEMENT </w:t>
      </w:r>
    </w:p>
    <w:p w:rsidR="00EC7D1B" w:rsidRPr="00AB6666" w:rsidRDefault="00EC7D1B" w:rsidP="00EC7D1B">
      <w:pPr>
        <w:spacing w:line="240" w:lineRule="atLeast"/>
        <w:jc w:val="center"/>
        <w:rPr>
          <w:rFonts w:asciiTheme="majorHAnsi" w:hAnsiTheme="majorHAnsi"/>
          <w:b/>
        </w:rPr>
      </w:pP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1.  SEC Identification </w:t>
      </w:r>
      <w:proofErr w:type="gramStart"/>
      <w:r w:rsidRPr="00AB6666">
        <w:rPr>
          <w:rFonts w:asciiTheme="majorHAnsi" w:hAnsiTheme="majorHAnsi"/>
        </w:rPr>
        <w:t>Number ................................</w:t>
      </w:r>
      <w:proofErr w:type="gramEnd"/>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jc w:val="both"/>
        <w:rPr>
          <w:rFonts w:asciiTheme="majorHAnsi" w:hAnsiTheme="majorHAnsi"/>
        </w:rPr>
      </w:pPr>
      <w:proofErr w:type="gramStart"/>
      <w:r w:rsidRPr="00AB6666">
        <w:rPr>
          <w:rFonts w:asciiTheme="majorHAnsi" w:hAnsiTheme="majorHAnsi"/>
        </w:rPr>
        <w:t>2.  ..........................................................................................</w:t>
      </w:r>
      <w:proofErr w:type="gramEnd"/>
    </w:p>
    <w:p w:rsidR="00EC7D1B" w:rsidRPr="00AB6666" w:rsidRDefault="00EC7D1B" w:rsidP="00EC7D1B">
      <w:pPr>
        <w:spacing w:line="240" w:lineRule="atLeast"/>
        <w:ind w:left="360"/>
        <w:jc w:val="both"/>
        <w:rPr>
          <w:rFonts w:asciiTheme="majorHAnsi" w:hAnsiTheme="majorHAnsi"/>
        </w:rPr>
      </w:pPr>
      <w:r w:rsidRPr="00AB6666">
        <w:rPr>
          <w:rFonts w:asciiTheme="majorHAnsi" w:hAnsiTheme="majorHAnsi"/>
        </w:rPr>
        <w:t>Exact name of registrant as specified in its charter</w:t>
      </w: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 </w:t>
      </w:r>
    </w:p>
    <w:p w:rsidR="00EC7D1B" w:rsidRPr="00AB6666" w:rsidRDefault="00EC7D1B" w:rsidP="00EC7D1B">
      <w:pPr>
        <w:spacing w:line="240" w:lineRule="atLeast"/>
        <w:jc w:val="both"/>
        <w:rPr>
          <w:rFonts w:asciiTheme="majorHAnsi" w:hAnsiTheme="majorHAnsi"/>
        </w:rPr>
      </w:pPr>
      <w:proofErr w:type="gramStart"/>
      <w:r w:rsidRPr="00AB6666">
        <w:rPr>
          <w:rFonts w:asciiTheme="majorHAnsi" w:hAnsiTheme="majorHAnsi"/>
        </w:rPr>
        <w:t>3.  .................................................................</w:t>
      </w:r>
      <w:proofErr w:type="gramEnd"/>
      <w:r w:rsidRPr="00AB6666">
        <w:rPr>
          <w:rFonts w:asciiTheme="majorHAnsi" w:hAnsiTheme="majorHAnsi"/>
        </w:rPr>
        <w:tab/>
      </w:r>
      <w:r w:rsidRPr="00AB6666">
        <w:rPr>
          <w:rFonts w:asciiTheme="majorHAnsi" w:hAnsiTheme="majorHAnsi"/>
        </w:rPr>
        <w:tab/>
      </w:r>
      <w:proofErr w:type="gramStart"/>
      <w:r w:rsidRPr="00AB6666">
        <w:rPr>
          <w:rFonts w:asciiTheme="majorHAnsi" w:hAnsiTheme="majorHAnsi"/>
        </w:rPr>
        <w:t xml:space="preserve">4. </w:t>
      </w:r>
      <w:proofErr w:type="gramEnd"/>
      <w:r w:rsidRPr="00AB6666">
        <w:rPr>
          <w:rFonts w:asciiTheme="majorHAnsi" w:hAnsiTheme="majorHAnsi"/>
        </w:rPr>
        <w:t xml:space="preserve"> ...............................................</w:t>
      </w:r>
    </w:p>
    <w:tbl>
      <w:tblPr>
        <w:tblW w:w="0" w:type="auto"/>
        <w:tblLayout w:type="fixed"/>
        <w:tblLook w:val="0000" w:firstRow="0" w:lastRow="0" w:firstColumn="0" w:lastColumn="0" w:noHBand="0" w:noVBand="0"/>
      </w:tblPr>
      <w:tblGrid>
        <w:gridCol w:w="4788"/>
        <w:gridCol w:w="4788"/>
      </w:tblGrid>
      <w:tr w:rsidR="00EC7D1B" w:rsidRPr="00AB6666" w:rsidTr="004E3BB1">
        <w:tc>
          <w:tcPr>
            <w:tcW w:w="4788" w:type="dxa"/>
          </w:tcPr>
          <w:p w:rsidR="00EC7D1B" w:rsidRPr="00AB6666" w:rsidRDefault="00EC7D1B" w:rsidP="004E3BB1">
            <w:pPr>
              <w:spacing w:line="240" w:lineRule="atLeast"/>
              <w:ind w:left="360"/>
              <w:jc w:val="both"/>
              <w:rPr>
                <w:rFonts w:asciiTheme="majorHAnsi" w:hAnsiTheme="majorHAnsi"/>
              </w:rPr>
            </w:pPr>
            <w:r w:rsidRPr="00AB6666">
              <w:rPr>
                <w:rFonts w:asciiTheme="majorHAnsi" w:hAnsiTheme="majorHAnsi"/>
              </w:rPr>
              <w:t>Province, country or other jurisdiction of incorporation or organization</w:t>
            </w:r>
          </w:p>
        </w:tc>
        <w:tc>
          <w:tcPr>
            <w:tcW w:w="4788" w:type="dxa"/>
          </w:tcPr>
          <w:p w:rsidR="00EC7D1B" w:rsidRPr="00AB6666" w:rsidRDefault="00EC7D1B" w:rsidP="004E3BB1">
            <w:pPr>
              <w:spacing w:line="240" w:lineRule="atLeast"/>
              <w:ind w:left="522"/>
              <w:rPr>
                <w:rFonts w:asciiTheme="majorHAnsi" w:hAnsiTheme="majorHAnsi"/>
              </w:rPr>
            </w:pPr>
            <w:r w:rsidRPr="00AB6666">
              <w:rPr>
                <w:rFonts w:asciiTheme="majorHAnsi" w:hAnsiTheme="majorHAnsi"/>
              </w:rPr>
              <w:t>BIR Tax Identification Number</w:t>
            </w:r>
          </w:p>
        </w:tc>
      </w:tr>
    </w:tbl>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jc w:val="both"/>
        <w:rPr>
          <w:rFonts w:asciiTheme="majorHAnsi" w:hAnsiTheme="majorHAnsi"/>
        </w:rPr>
      </w:pPr>
      <w:proofErr w:type="gramStart"/>
      <w:r w:rsidRPr="00AB6666">
        <w:rPr>
          <w:rFonts w:asciiTheme="majorHAnsi" w:hAnsiTheme="majorHAnsi"/>
        </w:rPr>
        <w:t>5.  ..........................................................................................</w:t>
      </w:r>
      <w:proofErr w:type="gramEnd"/>
    </w:p>
    <w:p w:rsidR="00EC7D1B" w:rsidRPr="00AB6666" w:rsidRDefault="00EC7D1B" w:rsidP="00EC7D1B">
      <w:pPr>
        <w:spacing w:line="240" w:lineRule="atLeast"/>
        <w:ind w:left="360"/>
        <w:jc w:val="both"/>
        <w:rPr>
          <w:rFonts w:asciiTheme="majorHAnsi" w:hAnsiTheme="majorHAnsi"/>
        </w:rPr>
      </w:pPr>
      <w:proofErr w:type="gramStart"/>
      <w:r w:rsidRPr="00AB6666">
        <w:rPr>
          <w:rFonts w:asciiTheme="majorHAnsi" w:hAnsiTheme="majorHAnsi"/>
        </w:rPr>
        <w:t>General character of business of registrant.</w:t>
      </w:r>
      <w:proofErr w:type="gramEnd"/>
    </w:p>
    <w:p w:rsidR="00EC7D1B" w:rsidRPr="00AB6666" w:rsidRDefault="00EC7D1B" w:rsidP="00EC7D1B">
      <w:pPr>
        <w:spacing w:line="240" w:lineRule="atLeast"/>
        <w:ind w:left="360" w:hanging="360"/>
        <w:jc w:val="both"/>
        <w:rPr>
          <w:rFonts w:asciiTheme="majorHAnsi" w:hAnsiTheme="majorHAnsi"/>
        </w:rPr>
      </w:pPr>
      <w:r>
        <w:rPr>
          <w:rFonts w:asciiTheme="majorHAnsi" w:hAnsiTheme="majorHAnsi"/>
          <w:noProof/>
          <w:lang w:val="en-PH" w:eastAsia="ko-KR"/>
        </w:rPr>
        <mc:AlternateContent>
          <mc:Choice Requires="wps">
            <w:drawing>
              <wp:anchor distT="0" distB="0" distL="114300" distR="114300" simplePos="0" relativeHeight="251659264" behindDoc="0" locked="0" layoutInCell="0" allowOverlap="1" wp14:anchorId="5F576FCB" wp14:editId="3868AA0B">
                <wp:simplePos x="0" y="0"/>
                <wp:positionH relativeFrom="column">
                  <wp:posOffset>1805940</wp:posOffset>
                </wp:positionH>
                <wp:positionV relativeFrom="paragraph">
                  <wp:posOffset>129540</wp:posOffset>
                </wp:positionV>
                <wp:extent cx="823595" cy="183515"/>
                <wp:effectExtent l="0" t="0" r="14605" b="260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183515"/>
                        </a:xfrm>
                        <a:prstGeom prst="rect">
                          <a:avLst/>
                        </a:prstGeom>
                        <a:solidFill>
                          <a:srgbClr val="D9D9D9"/>
                        </a:solidFill>
                        <a:ln w="9525">
                          <a:solidFill>
                            <a:srgbClr val="0D0D0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2.2pt;margin-top:10.2pt;width:64.8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" o:allowincell="f" fillcolor="#d9d9d9" strokecolor="#0d0d0d"/>
            </w:pict>
          </mc:Fallback>
        </mc:AlternateContent>
      </w:r>
    </w:p>
    <w:p w:rsidR="00EC7D1B" w:rsidRPr="00AB6666" w:rsidRDefault="00EC7D1B" w:rsidP="00EC7D1B">
      <w:pPr>
        <w:spacing w:line="240" w:lineRule="atLeast"/>
        <w:ind w:left="360" w:hanging="360"/>
        <w:jc w:val="both"/>
        <w:rPr>
          <w:rFonts w:asciiTheme="majorHAnsi" w:hAnsiTheme="majorHAnsi"/>
        </w:rPr>
      </w:pPr>
      <w:r w:rsidRPr="00AB6666">
        <w:rPr>
          <w:rFonts w:asciiTheme="majorHAnsi" w:hAnsiTheme="majorHAnsi"/>
        </w:rPr>
        <w:t>6.</w:t>
      </w:r>
      <w:r w:rsidRPr="00AB6666">
        <w:rPr>
          <w:rFonts w:asciiTheme="majorHAnsi" w:hAnsiTheme="majorHAnsi"/>
        </w:rPr>
        <w:tab/>
        <w:t xml:space="preserve">Industry Classification Code: </w:t>
      </w:r>
      <w:r w:rsidRPr="00AB6666">
        <w:rPr>
          <w:rFonts w:asciiTheme="majorHAnsi" w:hAnsiTheme="majorHAnsi"/>
        </w:rPr>
        <w:tab/>
      </w:r>
      <w:r w:rsidRPr="00AB6666">
        <w:rPr>
          <w:rFonts w:asciiTheme="majorHAnsi" w:hAnsiTheme="majorHAnsi"/>
        </w:rPr>
        <w:tab/>
        <w:t xml:space="preserve">   </w:t>
      </w:r>
      <w:r>
        <w:rPr>
          <w:rFonts w:asciiTheme="majorHAnsi" w:hAnsiTheme="majorHAnsi"/>
        </w:rPr>
        <w:t xml:space="preserve">           </w:t>
      </w:r>
      <w:r w:rsidRPr="00AB6666">
        <w:rPr>
          <w:rFonts w:asciiTheme="majorHAnsi" w:hAnsiTheme="majorHAnsi"/>
        </w:rPr>
        <w:t>(SEC Use Only)</w:t>
      </w:r>
      <w:r w:rsidRPr="00AB6666">
        <w:rPr>
          <w:rFonts w:asciiTheme="majorHAnsi" w:hAnsiTheme="majorHAnsi"/>
        </w:rPr>
        <w:tab/>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jc w:val="both"/>
        <w:rPr>
          <w:rFonts w:asciiTheme="majorHAnsi" w:hAnsiTheme="majorHAnsi"/>
        </w:rPr>
      </w:pPr>
      <w:proofErr w:type="gramStart"/>
      <w:r w:rsidRPr="00AB6666">
        <w:rPr>
          <w:rFonts w:asciiTheme="majorHAnsi" w:hAnsiTheme="majorHAnsi"/>
        </w:rPr>
        <w:t>7.  ..........................................................................................</w:t>
      </w:r>
      <w:proofErr w:type="gramEnd"/>
    </w:p>
    <w:p w:rsidR="00EC7D1B" w:rsidRPr="00AB6666" w:rsidRDefault="00EC7D1B" w:rsidP="00EC7D1B">
      <w:pPr>
        <w:spacing w:line="240" w:lineRule="atLeast"/>
        <w:ind w:left="360"/>
        <w:jc w:val="both"/>
        <w:rPr>
          <w:rFonts w:asciiTheme="majorHAnsi" w:hAnsiTheme="majorHAnsi"/>
        </w:rPr>
      </w:pPr>
      <w:r w:rsidRPr="00AB6666">
        <w:rPr>
          <w:rFonts w:asciiTheme="majorHAnsi" w:hAnsiTheme="majorHAnsi"/>
        </w:rPr>
        <w:t>Address, including postal code, telephone number, FAX number including area code, of registrant's principal offices</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8.  Fiscal Year Ending Date (Month and Day</w:t>
      </w:r>
      <w:proofErr w:type="gramStart"/>
      <w:r w:rsidRPr="00AB6666">
        <w:rPr>
          <w:rFonts w:asciiTheme="majorHAnsi" w:hAnsiTheme="majorHAnsi"/>
        </w:rPr>
        <w:t>) :</w:t>
      </w:r>
      <w:proofErr w:type="gramEnd"/>
      <w:r w:rsidRPr="00AB6666">
        <w:rPr>
          <w:rFonts w:asciiTheme="majorHAnsi" w:hAnsiTheme="majorHAnsi"/>
        </w:rPr>
        <w:t xml:space="preserve"> .................................</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jc w:val="center"/>
        <w:rPr>
          <w:rFonts w:asciiTheme="majorHAnsi" w:hAnsiTheme="majorHAnsi"/>
          <w:b/>
        </w:rPr>
      </w:pPr>
      <w:r w:rsidRPr="00AB6666">
        <w:rPr>
          <w:rFonts w:asciiTheme="majorHAnsi" w:hAnsiTheme="majorHAnsi"/>
          <w:b/>
        </w:rPr>
        <w:t>Computation of Registration Fee</w:t>
      </w:r>
    </w:p>
    <w:p w:rsidR="00EC7D1B" w:rsidRPr="00AB6666" w:rsidRDefault="00EC7D1B" w:rsidP="00EC7D1B">
      <w:pPr>
        <w:spacing w:line="240" w:lineRule="atLeast"/>
        <w:jc w:val="both"/>
        <w:rPr>
          <w:rFonts w:asciiTheme="majorHAnsi" w:hAnsiTheme="majorHAnsi"/>
        </w:rPr>
      </w:pPr>
    </w:p>
    <w:tbl>
      <w:tblPr>
        <w:tblW w:w="0" w:type="auto"/>
        <w:tblBorders>
          <w:top w:val="double" w:sz="6" w:space="0" w:color="auto"/>
          <w:bottom w:val="double" w:sz="6" w:space="0" w:color="auto"/>
        </w:tblBorders>
        <w:tblLayout w:type="fixed"/>
        <w:tblLook w:val="0000" w:firstRow="0" w:lastRow="0" w:firstColumn="0" w:lastColumn="0" w:noHBand="0" w:noVBand="0"/>
      </w:tblPr>
      <w:tblGrid>
        <w:gridCol w:w="1915"/>
        <w:gridCol w:w="1915"/>
        <w:gridCol w:w="1915"/>
        <w:gridCol w:w="1915"/>
        <w:gridCol w:w="1915"/>
      </w:tblGrid>
      <w:tr w:rsidR="00EC7D1B" w:rsidRPr="00AB6666" w:rsidTr="004E3BB1">
        <w:tc>
          <w:tcPr>
            <w:tcW w:w="1915" w:type="dxa"/>
          </w:tcPr>
          <w:p w:rsidR="00EC7D1B" w:rsidRPr="00AB6666" w:rsidRDefault="00EC7D1B" w:rsidP="004E3BB1">
            <w:pPr>
              <w:spacing w:line="240" w:lineRule="atLeast"/>
              <w:jc w:val="center"/>
              <w:rPr>
                <w:rFonts w:asciiTheme="majorHAnsi" w:hAnsiTheme="majorHAnsi"/>
              </w:rPr>
            </w:pPr>
            <w:r w:rsidRPr="00AB6666">
              <w:rPr>
                <w:rFonts w:asciiTheme="majorHAnsi" w:hAnsiTheme="majorHAnsi"/>
              </w:rPr>
              <w:t>Title of each class of ETF to be registered</w:t>
            </w:r>
          </w:p>
        </w:tc>
        <w:tc>
          <w:tcPr>
            <w:tcW w:w="1915" w:type="dxa"/>
          </w:tcPr>
          <w:p w:rsidR="00EC7D1B" w:rsidRPr="00AB6666" w:rsidRDefault="00EC7D1B" w:rsidP="004E3BB1">
            <w:pPr>
              <w:spacing w:line="240" w:lineRule="atLeast"/>
              <w:jc w:val="center"/>
              <w:rPr>
                <w:rFonts w:asciiTheme="majorHAnsi" w:hAnsiTheme="majorHAnsi"/>
              </w:rPr>
            </w:pPr>
            <w:r w:rsidRPr="00AB6666">
              <w:rPr>
                <w:rFonts w:asciiTheme="majorHAnsi" w:hAnsiTheme="majorHAnsi"/>
              </w:rPr>
              <w:t>Amount to be registered</w:t>
            </w:r>
          </w:p>
        </w:tc>
        <w:tc>
          <w:tcPr>
            <w:tcW w:w="1915" w:type="dxa"/>
          </w:tcPr>
          <w:p w:rsidR="00EC7D1B" w:rsidRPr="00AB6666" w:rsidRDefault="00EC7D1B" w:rsidP="004E3BB1">
            <w:pPr>
              <w:spacing w:line="240" w:lineRule="atLeast"/>
              <w:jc w:val="center"/>
              <w:rPr>
                <w:rFonts w:asciiTheme="majorHAnsi" w:hAnsiTheme="majorHAnsi"/>
              </w:rPr>
            </w:pPr>
            <w:r w:rsidRPr="00AB6666">
              <w:rPr>
                <w:rFonts w:asciiTheme="majorHAnsi" w:hAnsiTheme="majorHAnsi"/>
              </w:rPr>
              <w:t>Proposed Maximum offering price per unit</w:t>
            </w:r>
          </w:p>
        </w:tc>
        <w:tc>
          <w:tcPr>
            <w:tcW w:w="1915" w:type="dxa"/>
          </w:tcPr>
          <w:p w:rsidR="00EC7D1B" w:rsidRPr="00AB6666" w:rsidRDefault="00EC7D1B" w:rsidP="004E3BB1">
            <w:pPr>
              <w:spacing w:line="240" w:lineRule="atLeast"/>
              <w:jc w:val="center"/>
              <w:rPr>
                <w:rFonts w:asciiTheme="majorHAnsi" w:hAnsiTheme="majorHAnsi"/>
              </w:rPr>
            </w:pPr>
            <w:r w:rsidRPr="00AB6666">
              <w:rPr>
                <w:rFonts w:asciiTheme="majorHAnsi" w:hAnsiTheme="majorHAnsi"/>
              </w:rPr>
              <w:t>Proposed maximum aggregate offering price</w:t>
            </w:r>
          </w:p>
        </w:tc>
        <w:tc>
          <w:tcPr>
            <w:tcW w:w="1915" w:type="dxa"/>
          </w:tcPr>
          <w:p w:rsidR="00EC7D1B" w:rsidRPr="00AB6666" w:rsidRDefault="00EC7D1B" w:rsidP="004E3BB1">
            <w:pPr>
              <w:spacing w:line="240" w:lineRule="atLeast"/>
              <w:jc w:val="center"/>
              <w:rPr>
                <w:rFonts w:asciiTheme="majorHAnsi" w:hAnsiTheme="majorHAnsi"/>
              </w:rPr>
            </w:pPr>
            <w:r w:rsidRPr="00AB6666">
              <w:rPr>
                <w:rFonts w:asciiTheme="majorHAnsi" w:hAnsiTheme="majorHAnsi"/>
              </w:rPr>
              <w:t>Amount of registration fee</w:t>
            </w:r>
          </w:p>
        </w:tc>
      </w:tr>
    </w:tbl>
    <w:p w:rsidR="00EC7D1B" w:rsidRPr="00AB6666" w:rsidRDefault="00EC7D1B" w:rsidP="00EC7D1B">
      <w:pPr>
        <w:spacing w:line="240" w:lineRule="atLeast"/>
        <w:jc w:val="center"/>
        <w:rPr>
          <w:rFonts w:asciiTheme="majorHAnsi" w:hAnsiTheme="majorHAnsi"/>
        </w:rPr>
      </w:pPr>
    </w:p>
    <w:p w:rsidR="00EC7D1B" w:rsidRPr="00AB6666" w:rsidRDefault="00EC7D1B" w:rsidP="00EC7D1B">
      <w:pPr>
        <w:spacing w:line="240" w:lineRule="atLeast"/>
        <w:ind w:left="720"/>
        <w:jc w:val="both"/>
        <w:rPr>
          <w:rFonts w:asciiTheme="majorHAnsi" w:hAnsiTheme="majorHAnsi"/>
        </w:rPr>
      </w:pPr>
      <w:r w:rsidRPr="00AB6666">
        <w:rPr>
          <w:rFonts w:asciiTheme="majorHAnsi" w:hAnsiTheme="majorHAnsi"/>
        </w:rPr>
        <w:t xml:space="preserve">Registration Statements filed pursuant to Section 12 of the SRC shall be accompanied by a fee as follows: </w:t>
      </w:r>
    </w:p>
    <w:p w:rsidR="00EC7D1B" w:rsidRPr="00AB6666" w:rsidRDefault="00EC7D1B" w:rsidP="00EC7D1B">
      <w:pPr>
        <w:spacing w:line="240" w:lineRule="atLeast"/>
        <w:ind w:left="720"/>
        <w:jc w:val="both"/>
        <w:rPr>
          <w:rFonts w:asciiTheme="majorHAnsi" w:hAnsiTheme="majorHAn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EC7D1B" w:rsidRPr="00AB6666" w:rsidTr="004E3BB1">
        <w:tc>
          <w:tcPr>
            <w:tcW w:w="4788" w:type="dxa"/>
          </w:tcPr>
          <w:p w:rsidR="00EC7D1B" w:rsidRPr="00AB6666" w:rsidRDefault="00EC7D1B" w:rsidP="004E3BB1">
            <w:pPr>
              <w:spacing w:line="240" w:lineRule="atLeast"/>
              <w:jc w:val="center"/>
              <w:rPr>
                <w:rFonts w:asciiTheme="majorHAnsi" w:hAnsiTheme="majorHAnsi"/>
              </w:rPr>
            </w:pPr>
            <w:r w:rsidRPr="00AB6666">
              <w:rPr>
                <w:rFonts w:asciiTheme="majorHAnsi" w:hAnsiTheme="majorHAnsi"/>
              </w:rPr>
              <w:t>Maximum aggregate price of securities to be offered</w:t>
            </w:r>
          </w:p>
        </w:tc>
        <w:tc>
          <w:tcPr>
            <w:tcW w:w="4788" w:type="dxa"/>
          </w:tcPr>
          <w:p w:rsidR="00EC7D1B" w:rsidRPr="00AB6666" w:rsidRDefault="00EC7D1B" w:rsidP="004E3BB1">
            <w:pPr>
              <w:spacing w:line="240" w:lineRule="atLeast"/>
              <w:jc w:val="center"/>
              <w:rPr>
                <w:rFonts w:asciiTheme="majorHAnsi" w:hAnsiTheme="majorHAnsi"/>
              </w:rPr>
            </w:pPr>
            <w:r w:rsidRPr="00AB6666">
              <w:rPr>
                <w:rFonts w:asciiTheme="majorHAnsi" w:hAnsiTheme="majorHAnsi"/>
              </w:rPr>
              <w:t>Amount of filing fee</w:t>
            </w:r>
          </w:p>
        </w:tc>
      </w:tr>
      <w:tr w:rsidR="00EC7D1B" w:rsidRPr="00AB6666" w:rsidTr="004E3BB1">
        <w:tc>
          <w:tcPr>
            <w:tcW w:w="4788" w:type="dxa"/>
          </w:tcPr>
          <w:p w:rsidR="00EC7D1B" w:rsidRPr="00AB6666" w:rsidRDefault="00EC7D1B" w:rsidP="004E3BB1">
            <w:pPr>
              <w:spacing w:line="240" w:lineRule="atLeast"/>
              <w:jc w:val="both"/>
              <w:rPr>
                <w:rFonts w:asciiTheme="majorHAnsi" w:hAnsiTheme="majorHAnsi"/>
              </w:rPr>
            </w:pPr>
            <w:r w:rsidRPr="00AB6666">
              <w:rPr>
                <w:rFonts w:asciiTheme="majorHAnsi" w:hAnsiTheme="majorHAnsi"/>
              </w:rPr>
              <w:t xml:space="preserve">Not more than P500 Million </w:t>
            </w:r>
          </w:p>
        </w:tc>
        <w:tc>
          <w:tcPr>
            <w:tcW w:w="4788" w:type="dxa"/>
          </w:tcPr>
          <w:p w:rsidR="00EC7D1B" w:rsidRPr="00AB6666" w:rsidRDefault="00EC7D1B" w:rsidP="004E3BB1">
            <w:pPr>
              <w:spacing w:line="240" w:lineRule="atLeast"/>
              <w:jc w:val="both"/>
              <w:rPr>
                <w:rFonts w:asciiTheme="majorHAnsi" w:hAnsiTheme="majorHAnsi"/>
              </w:rPr>
            </w:pPr>
            <w:r w:rsidRPr="00AB6666">
              <w:rPr>
                <w:rFonts w:asciiTheme="majorHAnsi" w:hAnsiTheme="majorHAnsi"/>
              </w:rPr>
              <w:t>0.10% of the maximum aggregate price of the securities to be offered</w:t>
            </w:r>
          </w:p>
        </w:tc>
      </w:tr>
      <w:tr w:rsidR="00EC7D1B" w:rsidRPr="00AB6666" w:rsidTr="004E3BB1">
        <w:tc>
          <w:tcPr>
            <w:tcW w:w="4788" w:type="dxa"/>
          </w:tcPr>
          <w:p w:rsidR="00EC7D1B" w:rsidRPr="00AB6666" w:rsidRDefault="00EC7D1B" w:rsidP="004E3BB1">
            <w:pPr>
              <w:spacing w:line="240" w:lineRule="atLeast"/>
              <w:jc w:val="both"/>
              <w:rPr>
                <w:rFonts w:asciiTheme="majorHAnsi" w:hAnsiTheme="majorHAnsi"/>
              </w:rPr>
            </w:pPr>
            <w:r w:rsidRPr="00AB6666">
              <w:rPr>
                <w:rFonts w:asciiTheme="majorHAnsi" w:hAnsiTheme="majorHAnsi"/>
              </w:rPr>
              <w:t>More than P500 Million but not more than P750 Million</w:t>
            </w:r>
          </w:p>
        </w:tc>
        <w:tc>
          <w:tcPr>
            <w:tcW w:w="4788" w:type="dxa"/>
          </w:tcPr>
          <w:p w:rsidR="00EC7D1B" w:rsidRPr="00AB6666" w:rsidRDefault="00EC7D1B" w:rsidP="004E3BB1">
            <w:pPr>
              <w:spacing w:line="240" w:lineRule="atLeast"/>
              <w:jc w:val="both"/>
              <w:rPr>
                <w:rFonts w:asciiTheme="majorHAnsi" w:hAnsiTheme="majorHAnsi"/>
              </w:rPr>
            </w:pPr>
            <w:r w:rsidRPr="00AB6666">
              <w:rPr>
                <w:rFonts w:asciiTheme="majorHAnsi" w:hAnsiTheme="majorHAnsi"/>
              </w:rPr>
              <w:t>P500,000 plus 0.075% of the excess over P500 Million</w:t>
            </w:r>
          </w:p>
        </w:tc>
      </w:tr>
      <w:tr w:rsidR="00EC7D1B" w:rsidRPr="00AB6666" w:rsidTr="004E3BB1">
        <w:tc>
          <w:tcPr>
            <w:tcW w:w="4788" w:type="dxa"/>
          </w:tcPr>
          <w:p w:rsidR="00EC7D1B" w:rsidRPr="00AB6666" w:rsidRDefault="00EC7D1B" w:rsidP="004E3BB1">
            <w:pPr>
              <w:spacing w:line="240" w:lineRule="atLeast"/>
              <w:jc w:val="both"/>
              <w:rPr>
                <w:rFonts w:asciiTheme="majorHAnsi" w:hAnsiTheme="majorHAnsi"/>
              </w:rPr>
            </w:pPr>
            <w:r w:rsidRPr="00AB6666">
              <w:rPr>
                <w:rFonts w:asciiTheme="majorHAnsi" w:hAnsiTheme="majorHAnsi"/>
              </w:rPr>
              <w:t>More than P750 Million but not more than P1 Billion</w:t>
            </w:r>
          </w:p>
        </w:tc>
        <w:tc>
          <w:tcPr>
            <w:tcW w:w="4788" w:type="dxa"/>
          </w:tcPr>
          <w:p w:rsidR="00EC7D1B" w:rsidRPr="00AB6666" w:rsidRDefault="00EC7D1B" w:rsidP="004E3BB1">
            <w:pPr>
              <w:spacing w:line="240" w:lineRule="atLeast"/>
              <w:jc w:val="both"/>
              <w:rPr>
                <w:rFonts w:asciiTheme="majorHAnsi" w:hAnsiTheme="majorHAnsi"/>
              </w:rPr>
            </w:pPr>
            <w:r w:rsidRPr="00AB6666">
              <w:rPr>
                <w:rFonts w:asciiTheme="majorHAnsi" w:hAnsiTheme="majorHAnsi"/>
              </w:rPr>
              <w:t>P687,500 plus 0.05% of the excess over P750 Million</w:t>
            </w:r>
          </w:p>
        </w:tc>
      </w:tr>
      <w:tr w:rsidR="00EC7D1B" w:rsidRPr="00AB6666" w:rsidTr="004E3BB1">
        <w:tc>
          <w:tcPr>
            <w:tcW w:w="4788" w:type="dxa"/>
          </w:tcPr>
          <w:p w:rsidR="00EC7D1B" w:rsidRPr="00AB6666" w:rsidRDefault="00EC7D1B" w:rsidP="004E3BB1">
            <w:pPr>
              <w:spacing w:line="240" w:lineRule="atLeast"/>
              <w:jc w:val="both"/>
              <w:rPr>
                <w:rFonts w:asciiTheme="majorHAnsi" w:hAnsiTheme="majorHAnsi"/>
              </w:rPr>
            </w:pPr>
            <w:r w:rsidRPr="00AB6666">
              <w:rPr>
                <w:rFonts w:asciiTheme="majorHAnsi" w:hAnsiTheme="majorHAnsi"/>
              </w:rPr>
              <w:t>More than P1 Billion</w:t>
            </w:r>
          </w:p>
        </w:tc>
        <w:tc>
          <w:tcPr>
            <w:tcW w:w="4788" w:type="dxa"/>
          </w:tcPr>
          <w:p w:rsidR="00EC7D1B" w:rsidRPr="00AB6666" w:rsidRDefault="00EC7D1B" w:rsidP="004E3BB1">
            <w:pPr>
              <w:spacing w:line="240" w:lineRule="atLeast"/>
              <w:jc w:val="both"/>
              <w:rPr>
                <w:rFonts w:asciiTheme="majorHAnsi" w:hAnsiTheme="majorHAnsi"/>
              </w:rPr>
            </w:pPr>
            <w:r w:rsidRPr="00AB6666">
              <w:rPr>
                <w:rFonts w:asciiTheme="majorHAnsi" w:hAnsiTheme="majorHAnsi"/>
              </w:rPr>
              <w:t xml:space="preserve">P812,500 plus 0.025% of the excess over P1 Billion  </w:t>
            </w:r>
          </w:p>
        </w:tc>
      </w:tr>
    </w:tbl>
    <w:p w:rsidR="00EC7D1B" w:rsidRPr="00AB6666" w:rsidRDefault="00EC7D1B" w:rsidP="00EC7D1B">
      <w:pPr>
        <w:spacing w:line="240" w:lineRule="atLeast"/>
        <w:ind w:firstLine="720"/>
        <w:jc w:val="both"/>
        <w:rPr>
          <w:rFonts w:asciiTheme="majorHAnsi" w:hAnsiTheme="majorHAnsi"/>
        </w:rPr>
      </w:pP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           A legal research fee of 1% of the filing fee paid for filings made pursuant to SRC Rule 8.1  </w:t>
      </w: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           </w:t>
      </w:r>
      <w:proofErr w:type="gramStart"/>
      <w:r w:rsidRPr="00AB6666">
        <w:rPr>
          <w:rFonts w:asciiTheme="majorHAnsi" w:hAnsiTheme="majorHAnsi"/>
        </w:rPr>
        <w:t>shall</w:t>
      </w:r>
      <w:proofErr w:type="gramEnd"/>
      <w:r w:rsidRPr="00AB6666">
        <w:rPr>
          <w:rFonts w:asciiTheme="majorHAnsi" w:hAnsiTheme="majorHAnsi"/>
        </w:rPr>
        <w:t xml:space="preserve"> also be paid at the time of the filing.</w:t>
      </w:r>
    </w:p>
    <w:p w:rsidR="00EC7D1B" w:rsidRPr="00AB6666" w:rsidRDefault="00EC7D1B" w:rsidP="00EC7D1B">
      <w:pPr>
        <w:spacing w:line="240" w:lineRule="atLeast"/>
        <w:jc w:val="both"/>
        <w:rPr>
          <w:rFonts w:asciiTheme="majorHAnsi" w:hAnsiTheme="majorHAnsi"/>
          <w:b/>
        </w:rPr>
      </w:pPr>
    </w:p>
    <w:p w:rsidR="00EC7D1B" w:rsidRDefault="00EC7D1B" w:rsidP="00EC7D1B">
      <w:pPr>
        <w:spacing w:line="240" w:lineRule="atLeast"/>
        <w:jc w:val="center"/>
        <w:rPr>
          <w:rFonts w:asciiTheme="majorHAnsi" w:hAnsiTheme="majorHAnsi"/>
          <w:b/>
        </w:rPr>
      </w:pPr>
    </w:p>
    <w:p w:rsidR="00EC7D1B" w:rsidRPr="00AB6666" w:rsidRDefault="00EC7D1B" w:rsidP="00EC7D1B">
      <w:pPr>
        <w:spacing w:line="240" w:lineRule="atLeast"/>
        <w:jc w:val="center"/>
        <w:rPr>
          <w:rFonts w:asciiTheme="majorHAnsi" w:hAnsiTheme="majorHAnsi"/>
          <w:b/>
        </w:rPr>
      </w:pPr>
      <w:r w:rsidRPr="00AB6666">
        <w:rPr>
          <w:rFonts w:asciiTheme="majorHAnsi" w:hAnsiTheme="majorHAnsi"/>
          <w:b/>
        </w:rPr>
        <w:lastRenderedPageBreak/>
        <w:t>PART I - INFORMATION REQUIRED IN PROSPECTUS</w:t>
      </w:r>
    </w:p>
    <w:p w:rsidR="00EC7D1B" w:rsidRPr="00AB6666" w:rsidRDefault="00EC7D1B" w:rsidP="00EC7D1B">
      <w:pPr>
        <w:spacing w:line="240" w:lineRule="atLeast"/>
        <w:ind w:left="1440" w:hanging="1440"/>
        <w:jc w:val="both"/>
        <w:rPr>
          <w:rFonts w:asciiTheme="majorHAnsi" w:hAnsiTheme="majorHAnsi"/>
          <w:b/>
        </w:rPr>
      </w:pPr>
    </w:p>
    <w:p w:rsidR="00EC7D1B" w:rsidRPr="00AB6666" w:rsidRDefault="00EC7D1B" w:rsidP="00EC7D1B">
      <w:pPr>
        <w:spacing w:before="240" w:line="240" w:lineRule="atLeast"/>
        <w:ind w:left="1440" w:hanging="1440"/>
        <w:jc w:val="both"/>
        <w:rPr>
          <w:rFonts w:asciiTheme="majorHAnsi" w:hAnsiTheme="majorHAnsi"/>
        </w:rPr>
      </w:pPr>
      <w:proofErr w:type="gramStart"/>
      <w:r w:rsidRPr="00AB6666">
        <w:rPr>
          <w:rFonts w:asciiTheme="majorHAnsi" w:hAnsiTheme="majorHAnsi"/>
          <w:b/>
        </w:rPr>
        <w:t>Item 1</w:t>
      </w:r>
      <w:r w:rsidRPr="00AB6666">
        <w:rPr>
          <w:rFonts w:asciiTheme="majorHAnsi" w:hAnsiTheme="majorHAnsi"/>
        </w:rPr>
        <w:t>.</w:t>
      </w:r>
      <w:proofErr w:type="gramEnd"/>
      <w:r w:rsidRPr="00AB6666">
        <w:rPr>
          <w:rFonts w:asciiTheme="majorHAnsi" w:hAnsiTheme="majorHAnsi"/>
        </w:rPr>
        <w:tab/>
      </w:r>
      <w:r w:rsidRPr="00AB6666">
        <w:rPr>
          <w:rFonts w:asciiTheme="majorHAnsi" w:hAnsiTheme="majorHAnsi"/>
          <w:u w:val="single"/>
        </w:rPr>
        <w:t>Front of the Registration Statement and Outside Front Cover Page of Prospectus</w:t>
      </w:r>
      <w:r w:rsidRPr="00AB6666">
        <w:rPr>
          <w:rFonts w:asciiTheme="majorHAnsi" w:hAnsiTheme="majorHAnsi"/>
        </w:rPr>
        <w:t>.</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Set forth in the front of the registration statement and on the outside front cover page of </w:t>
      </w:r>
      <w:proofErr w:type="gramStart"/>
      <w:r w:rsidRPr="00AB6666">
        <w:rPr>
          <w:rFonts w:asciiTheme="majorHAnsi" w:hAnsiTheme="majorHAnsi"/>
        </w:rPr>
        <w:t>the  prospectus</w:t>
      </w:r>
      <w:proofErr w:type="gramEnd"/>
      <w:r w:rsidRPr="00AB6666">
        <w:rPr>
          <w:rFonts w:asciiTheme="majorHAnsi" w:hAnsiTheme="majorHAnsi"/>
        </w:rPr>
        <w:t xml:space="preserve"> the information required by Part VI, paragraph (A) of “Annex C, as amended” and Section 6, of the ETF Rules.</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ind w:left="1440" w:hanging="1440"/>
        <w:jc w:val="both"/>
        <w:rPr>
          <w:rFonts w:asciiTheme="majorHAnsi" w:hAnsiTheme="majorHAnsi"/>
        </w:rPr>
      </w:pPr>
      <w:proofErr w:type="gramStart"/>
      <w:r w:rsidRPr="00AB6666">
        <w:rPr>
          <w:rFonts w:asciiTheme="majorHAnsi" w:hAnsiTheme="majorHAnsi"/>
          <w:b/>
        </w:rPr>
        <w:t>Item 2</w:t>
      </w:r>
      <w:r w:rsidRPr="00AB6666">
        <w:rPr>
          <w:rFonts w:asciiTheme="majorHAnsi" w:hAnsiTheme="majorHAnsi"/>
        </w:rPr>
        <w:t>.</w:t>
      </w:r>
      <w:proofErr w:type="gramEnd"/>
      <w:r w:rsidRPr="00AB6666">
        <w:rPr>
          <w:rFonts w:asciiTheme="majorHAnsi" w:hAnsiTheme="majorHAnsi"/>
        </w:rPr>
        <w:tab/>
      </w:r>
      <w:proofErr w:type="gramStart"/>
      <w:r w:rsidRPr="00AB6666">
        <w:rPr>
          <w:rFonts w:asciiTheme="majorHAnsi" w:hAnsiTheme="majorHAnsi"/>
          <w:u w:val="single"/>
        </w:rPr>
        <w:t>Inside Front Cover and First Two or More Pages of Prospectus</w:t>
      </w:r>
      <w:r w:rsidRPr="00AB6666">
        <w:rPr>
          <w:rFonts w:asciiTheme="majorHAnsi" w:hAnsiTheme="majorHAnsi"/>
        </w:rPr>
        <w:t>.</w:t>
      </w:r>
      <w:proofErr w:type="gramEnd"/>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 </w:t>
      </w: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Set forth on the inside front cover page of the prospectus and the first two or more pages, the information required by Part VI, paragraph (B) of “Annex C, as amended”. </w:t>
      </w: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See Annex “1” for the required details and information.</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ind w:left="1440" w:hanging="1440"/>
        <w:jc w:val="both"/>
        <w:rPr>
          <w:rFonts w:asciiTheme="majorHAnsi" w:hAnsiTheme="majorHAnsi"/>
        </w:rPr>
      </w:pPr>
      <w:proofErr w:type="gramStart"/>
      <w:r w:rsidRPr="00AB6666">
        <w:rPr>
          <w:rFonts w:asciiTheme="majorHAnsi" w:hAnsiTheme="majorHAnsi"/>
          <w:b/>
        </w:rPr>
        <w:t>Item 2-A</w:t>
      </w:r>
      <w:r w:rsidRPr="00AB6666">
        <w:rPr>
          <w:rFonts w:asciiTheme="majorHAnsi" w:hAnsiTheme="majorHAnsi"/>
        </w:rPr>
        <w:t>.</w:t>
      </w:r>
      <w:proofErr w:type="gramEnd"/>
      <w:r w:rsidRPr="00AB6666">
        <w:rPr>
          <w:rFonts w:asciiTheme="majorHAnsi" w:hAnsiTheme="majorHAnsi"/>
        </w:rPr>
        <w:tab/>
      </w:r>
      <w:proofErr w:type="gramStart"/>
      <w:r w:rsidRPr="00AB6666">
        <w:rPr>
          <w:rFonts w:asciiTheme="majorHAnsi" w:hAnsiTheme="majorHAnsi"/>
          <w:u w:val="single"/>
        </w:rPr>
        <w:t>First Three or More Pages of Prospectus</w:t>
      </w:r>
      <w:r w:rsidRPr="00AB6666">
        <w:rPr>
          <w:rFonts w:asciiTheme="majorHAnsi" w:hAnsiTheme="majorHAnsi"/>
        </w:rPr>
        <w:t>.</w:t>
      </w:r>
      <w:proofErr w:type="gramEnd"/>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Set forth on the first three or more pages of the prospectus the Table of Contents and the Glossary as required by Part VI, paragraph (B) of “Annex C, as amended”.</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ind w:left="1440" w:hanging="1440"/>
        <w:jc w:val="both"/>
        <w:rPr>
          <w:rFonts w:asciiTheme="majorHAnsi" w:hAnsiTheme="majorHAnsi"/>
        </w:rPr>
      </w:pPr>
      <w:proofErr w:type="gramStart"/>
      <w:r w:rsidRPr="00AB6666">
        <w:rPr>
          <w:rFonts w:asciiTheme="majorHAnsi" w:hAnsiTheme="majorHAnsi"/>
          <w:b/>
        </w:rPr>
        <w:t>Item 3.</w:t>
      </w:r>
      <w:proofErr w:type="gramEnd"/>
      <w:r w:rsidRPr="00AB6666">
        <w:rPr>
          <w:rFonts w:asciiTheme="majorHAnsi" w:hAnsiTheme="majorHAnsi"/>
        </w:rPr>
        <w:tab/>
      </w:r>
      <w:r w:rsidRPr="00AB6666">
        <w:rPr>
          <w:rFonts w:asciiTheme="majorHAnsi" w:hAnsiTheme="majorHAnsi"/>
          <w:u w:val="single"/>
        </w:rPr>
        <w:t>Risk Factors and Other Information</w:t>
      </w: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 </w:t>
      </w: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Furnish the information required by Part VI, paragraph (C) and (D) of “Annex C, as amended”.  </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ind w:left="1440" w:hanging="1440"/>
        <w:jc w:val="both"/>
        <w:rPr>
          <w:rFonts w:asciiTheme="majorHAnsi" w:hAnsiTheme="majorHAnsi"/>
        </w:rPr>
      </w:pPr>
      <w:proofErr w:type="gramStart"/>
      <w:r w:rsidRPr="00AB6666">
        <w:rPr>
          <w:rFonts w:asciiTheme="majorHAnsi" w:hAnsiTheme="majorHAnsi"/>
          <w:b/>
        </w:rPr>
        <w:t>Item 4.</w:t>
      </w:r>
      <w:proofErr w:type="gramEnd"/>
      <w:r w:rsidRPr="00AB6666">
        <w:rPr>
          <w:rFonts w:asciiTheme="majorHAnsi" w:hAnsiTheme="majorHAnsi"/>
        </w:rPr>
        <w:tab/>
      </w:r>
      <w:proofErr w:type="gramStart"/>
      <w:r w:rsidRPr="00AB6666">
        <w:rPr>
          <w:rFonts w:asciiTheme="majorHAnsi" w:hAnsiTheme="majorHAnsi"/>
          <w:u w:val="single"/>
        </w:rPr>
        <w:t>Use of Proceeds</w:t>
      </w:r>
      <w:r w:rsidRPr="00AB6666">
        <w:rPr>
          <w:rFonts w:asciiTheme="majorHAnsi" w:hAnsiTheme="majorHAnsi"/>
        </w:rPr>
        <w:t>.</w:t>
      </w:r>
      <w:proofErr w:type="gramEnd"/>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 </w:t>
      </w: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Furnish the information required by Section 17 and 19 of the ETF Rules, Part VI, paragraph (E) of “Annex C, as amended”. </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ind w:left="1440" w:hanging="1440"/>
        <w:jc w:val="both"/>
        <w:rPr>
          <w:rFonts w:asciiTheme="majorHAnsi" w:hAnsiTheme="majorHAnsi"/>
        </w:rPr>
      </w:pPr>
      <w:proofErr w:type="gramStart"/>
      <w:r w:rsidRPr="00AB6666">
        <w:rPr>
          <w:rFonts w:asciiTheme="majorHAnsi" w:hAnsiTheme="majorHAnsi"/>
          <w:b/>
        </w:rPr>
        <w:t>Item 5.</w:t>
      </w:r>
      <w:proofErr w:type="gramEnd"/>
      <w:r w:rsidRPr="00AB6666">
        <w:rPr>
          <w:rFonts w:asciiTheme="majorHAnsi" w:hAnsiTheme="majorHAnsi"/>
        </w:rPr>
        <w:tab/>
      </w:r>
      <w:proofErr w:type="gramStart"/>
      <w:r w:rsidRPr="00AB6666">
        <w:rPr>
          <w:rFonts w:asciiTheme="majorHAnsi" w:hAnsiTheme="majorHAnsi"/>
          <w:u w:val="single"/>
        </w:rPr>
        <w:t>Determination of Offering Price and/or the Net Asset Value per Share</w:t>
      </w:r>
      <w:r w:rsidRPr="00AB6666">
        <w:rPr>
          <w:rFonts w:asciiTheme="majorHAnsi" w:hAnsiTheme="majorHAnsi"/>
        </w:rPr>
        <w:t>.</w:t>
      </w:r>
      <w:proofErr w:type="gramEnd"/>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 </w:t>
      </w: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Furnish the information required by Part VI, paragraph (F) of “Annex C, as amended” and Sections 5(15 and 16), 8(3, 4 and 5) and 23 of the ETF Rules. </w:t>
      </w: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 </w:t>
      </w:r>
    </w:p>
    <w:p w:rsidR="00EC7D1B" w:rsidRPr="00AB6666" w:rsidRDefault="00EC7D1B" w:rsidP="00EC7D1B">
      <w:pPr>
        <w:spacing w:line="240" w:lineRule="atLeast"/>
        <w:ind w:left="1440" w:hanging="1440"/>
        <w:jc w:val="both"/>
        <w:rPr>
          <w:rFonts w:asciiTheme="majorHAnsi" w:hAnsiTheme="majorHAnsi"/>
        </w:rPr>
      </w:pPr>
      <w:proofErr w:type="gramStart"/>
      <w:r w:rsidRPr="00AB6666">
        <w:rPr>
          <w:rFonts w:asciiTheme="majorHAnsi" w:hAnsiTheme="majorHAnsi"/>
          <w:b/>
        </w:rPr>
        <w:t>Item 6.</w:t>
      </w:r>
      <w:proofErr w:type="gramEnd"/>
      <w:r w:rsidRPr="00AB6666">
        <w:rPr>
          <w:rFonts w:asciiTheme="majorHAnsi" w:hAnsiTheme="majorHAnsi"/>
        </w:rPr>
        <w:tab/>
      </w:r>
      <w:proofErr w:type="gramStart"/>
      <w:r w:rsidRPr="00AB6666">
        <w:rPr>
          <w:rFonts w:asciiTheme="majorHAnsi" w:hAnsiTheme="majorHAnsi"/>
          <w:u w:val="single"/>
        </w:rPr>
        <w:t>Dilution</w:t>
      </w:r>
      <w:r w:rsidRPr="00AB6666">
        <w:rPr>
          <w:rFonts w:asciiTheme="majorHAnsi" w:hAnsiTheme="majorHAnsi"/>
        </w:rPr>
        <w:t>.</w:t>
      </w:r>
      <w:proofErr w:type="gramEnd"/>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 </w:t>
      </w: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Furnish the information required by Part VI, paragraph (G) of “Annex C, as amended”. </w:t>
      </w: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 </w:t>
      </w:r>
    </w:p>
    <w:p w:rsidR="00EC7D1B" w:rsidRPr="00AB6666" w:rsidRDefault="00EC7D1B" w:rsidP="00EC7D1B">
      <w:pPr>
        <w:spacing w:line="240" w:lineRule="atLeast"/>
        <w:ind w:left="1440" w:hanging="1440"/>
        <w:jc w:val="both"/>
        <w:rPr>
          <w:rFonts w:asciiTheme="majorHAnsi" w:hAnsiTheme="majorHAnsi"/>
        </w:rPr>
      </w:pPr>
      <w:proofErr w:type="gramStart"/>
      <w:r w:rsidRPr="00AB6666">
        <w:rPr>
          <w:rFonts w:asciiTheme="majorHAnsi" w:hAnsiTheme="majorHAnsi"/>
          <w:b/>
        </w:rPr>
        <w:t>Item 7.</w:t>
      </w:r>
      <w:proofErr w:type="gramEnd"/>
      <w:r w:rsidRPr="00AB6666">
        <w:rPr>
          <w:rFonts w:asciiTheme="majorHAnsi" w:hAnsiTheme="majorHAnsi"/>
        </w:rPr>
        <w:tab/>
      </w:r>
      <w:proofErr w:type="gramStart"/>
      <w:r w:rsidRPr="00AB6666">
        <w:rPr>
          <w:rFonts w:asciiTheme="majorHAnsi" w:hAnsiTheme="majorHAnsi"/>
          <w:u w:val="single"/>
        </w:rPr>
        <w:t>Selling Security Holders</w:t>
      </w:r>
      <w:r w:rsidRPr="00AB6666">
        <w:rPr>
          <w:rFonts w:asciiTheme="majorHAnsi" w:hAnsiTheme="majorHAnsi"/>
        </w:rPr>
        <w:t>.</w:t>
      </w:r>
      <w:proofErr w:type="gramEnd"/>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 </w:t>
      </w: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Furnish the information required by Part VI, paragraph (H) of “Annex C, as amended”. </w:t>
      </w: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 </w:t>
      </w:r>
    </w:p>
    <w:p w:rsidR="00EC7D1B" w:rsidRPr="00AB6666" w:rsidRDefault="00EC7D1B" w:rsidP="00EC7D1B">
      <w:pPr>
        <w:spacing w:line="240" w:lineRule="atLeast"/>
        <w:jc w:val="both"/>
        <w:rPr>
          <w:rFonts w:asciiTheme="majorHAnsi" w:hAnsiTheme="majorHAnsi"/>
        </w:rPr>
      </w:pPr>
      <w:proofErr w:type="gramStart"/>
      <w:r w:rsidRPr="00AB6666">
        <w:rPr>
          <w:rFonts w:asciiTheme="majorHAnsi" w:hAnsiTheme="majorHAnsi"/>
          <w:b/>
        </w:rPr>
        <w:t>Item 8</w:t>
      </w:r>
      <w:r w:rsidRPr="00AB6666">
        <w:rPr>
          <w:rFonts w:asciiTheme="majorHAnsi" w:hAnsiTheme="majorHAnsi"/>
        </w:rPr>
        <w:t>.</w:t>
      </w:r>
      <w:proofErr w:type="gramEnd"/>
      <w:r w:rsidRPr="00AB6666">
        <w:rPr>
          <w:rFonts w:asciiTheme="majorHAnsi" w:hAnsiTheme="majorHAnsi"/>
        </w:rPr>
        <w:tab/>
      </w:r>
      <w:r w:rsidRPr="00AB6666">
        <w:rPr>
          <w:rFonts w:asciiTheme="majorHAnsi" w:hAnsiTheme="majorHAnsi"/>
        </w:rPr>
        <w:tab/>
      </w:r>
      <w:proofErr w:type="gramStart"/>
      <w:r w:rsidRPr="00AB6666">
        <w:rPr>
          <w:rFonts w:asciiTheme="majorHAnsi" w:hAnsiTheme="majorHAnsi"/>
          <w:u w:val="single"/>
        </w:rPr>
        <w:t>Plan of Distribution</w:t>
      </w:r>
      <w:r w:rsidRPr="00AB6666">
        <w:rPr>
          <w:rFonts w:asciiTheme="majorHAnsi" w:hAnsiTheme="majorHAnsi"/>
        </w:rPr>
        <w:t>.</w:t>
      </w:r>
      <w:proofErr w:type="gramEnd"/>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 </w:t>
      </w: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Furnish the information required by Sections 15, 16, 18 and 19 of the ETF Rules, Part VI, paragraphs (I), (J) and (K) of “Annex C, as amended”. </w:t>
      </w:r>
    </w:p>
    <w:p w:rsidR="00EC7D1B" w:rsidRDefault="00EC7D1B" w:rsidP="00EC7D1B">
      <w:pPr>
        <w:spacing w:line="240" w:lineRule="atLeast"/>
        <w:jc w:val="both"/>
        <w:rPr>
          <w:rFonts w:asciiTheme="majorHAnsi" w:hAnsiTheme="majorHAnsi"/>
        </w:rPr>
      </w:pPr>
      <w:r w:rsidRPr="00AB6666">
        <w:rPr>
          <w:rFonts w:asciiTheme="majorHAnsi" w:hAnsiTheme="majorHAnsi"/>
        </w:rPr>
        <w:t xml:space="preserve"> </w:t>
      </w:r>
    </w:p>
    <w:p w:rsidR="00EC7D1B" w:rsidRDefault="00EC7D1B" w:rsidP="00EC7D1B">
      <w:pPr>
        <w:spacing w:line="240" w:lineRule="atLeast"/>
        <w:jc w:val="both"/>
        <w:rPr>
          <w:rFonts w:asciiTheme="majorHAnsi" w:hAnsiTheme="majorHAnsi"/>
        </w:rPr>
      </w:pPr>
    </w:p>
    <w:p w:rsidR="00EC7D1B" w:rsidRPr="00AB6666" w:rsidRDefault="00EC7D1B" w:rsidP="00EC7D1B">
      <w:pPr>
        <w:spacing w:line="240" w:lineRule="atLeast"/>
        <w:jc w:val="both"/>
        <w:rPr>
          <w:rFonts w:asciiTheme="majorHAnsi" w:hAnsiTheme="majorHAnsi"/>
        </w:rPr>
      </w:pPr>
    </w:p>
    <w:p w:rsidR="00045AB9" w:rsidRDefault="00045AB9" w:rsidP="00EC7D1B">
      <w:pPr>
        <w:spacing w:line="240" w:lineRule="atLeast"/>
        <w:jc w:val="center"/>
        <w:rPr>
          <w:rFonts w:asciiTheme="majorHAnsi" w:hAnsiTheme="majorHAnsi"/>
          <w:b/>
        </w:rPr>
      </w:pPr>
    </w:p>
    <w:p w:rsidR="00045AB9" w:rsidRDefault="00045AB9" w:rsidP="00EC7D1B">
      <w:pPr>
        <w:spacing w:line="240" w:lineRule="atLeast"/>
        <w:jc w:val="center"/>
        <w:rPr>
          <w:rFonts w:asciiTheme="majorHAnsi" w:hAnsiTheme="majorHAnsi"/>
          <w:b/>
        </w:rPr>
      </w:pPr>
    </w:p>
    <w:p w:rsidR="00045AB9" w:rsidRDefault="00045AB9" w:rsidP="00EC7D1B">
      <w:pPr>
        <w:spacing w:line="240" w:lineRule="atLeast"/>
        <w:jc w:val="center"/>
        <w:rPr>
          <w:rFonts w:asciiTheme="majorHAnsi" w:hAnsiTheme="majorHAnsi"/>
          <w:b/>
        </w:rPr>
      </w:pPr>
    </w:p>
    <w:p w:rsidR="00EC7D1B" w:rsidRPr="00AB6666" w:rsidRDefault="00EC7D1B" w:rsidP="00EC7D1B">
      <w:pPr>
        <w:spacing w:line="240" w:lineRule="atLeast"/>
        <w:jc w:val="center"/>
        <w:rPr>
          <w:rFonts w:asciiTheme="majorHAnsi" w:hAnsiTheme="majorHAnsi"/>
          <w:b/>
        </w:rPr>
      </w:pPr>
      <w:r w:rsidRPr="00AB6666">
        <w:rPr>
          <w:rFonts w:asciiTheme="majorHAnsi" w:hAnsiTheme="majorHAnsi"/>
          <w:b/>
        </w:rPr>
        <w:lastRenderedPageBreak/>
        <w:t>PART II – SECURITIES OF THE REGISTRANT</w:t>
      </w:r>
    </w:p>
    <w:p w:rsidR="00EC7D1B" w:rsidRPr="00AB6666" w:rsidRDefault="00EC7D1B" w:rsidP="00EC7D1B">
      <w:pPr>
        <w:spacing w:line="240" w:lineRule="atLeast"/>
        <w:jc w:val="both"/>
        <w:rPr>
          <w:rFonts w:asciiTheme="majorHAnsi" w:hAnsiTheme="majorHAnsi"/>
          <w:b/>
        </w:rPr>
      </w:pPr>
    </w:p>
    <w:p w:rsidR="00EC7D1B" w:rsidRPr="00AB6666" w:rsidRDefault="00EC7D1B" w:rsidP="00EC7D1B">
      <w:pPr>
        <w:spacing w:line="240" w:lineRule="atLeast"/>
        <w:jc w:val="both"/>
        <w:rPr>
          <w:rFonts w:asciiTheme="majorHAnsi" w:hAnsiTheme="majorHAnsi"/>
        </w:rPr>
      </w:pPr>
      <w:proofErr w:type="gramStart"/>
      <w:r w:rsidRPr="00AB6666">
        <w:rPr>
          <w:rFonts w:asciiTheme="majorHAnsi" w:hAnsiTheme="majorHAnsi"/>
          <w:b/>
        </w:rPr>
        <w:t>Item 9.</w:t>
      </w:r>
      <w:proofErr w:type="gramEnd"/>
      <w:r w:rsidRPr="00AB6666">
        <w:rPr>
          <w:rFonts w:asciiTheme="majorHAnsi" w:hAnsiTheme="majorHAnsi"/>
          <w:b/>
        </w:rPr>
        <w:tab/>
      </w:r>
      <w:r w:rsidRPr="00AB6666">
        <w:rPr>
          <w:rFonts w:asciiTheme="majorHAnsi" w:hAnsiTheme="majorHAnsi"/>
          <w:b/>
        </w:rPr>
        <w:tab/>
      </w:r>
      <w:proofErr w:type="gramStart"/>
      <w:r w:rsidRPr="00AB6666">
        <w:rPr>
          <w:rFonts w:asciiTheme="majorHAnsi" w:hAnsiTheme="majorHAnsi"/>
          <w:u w:val="single"/>
        </w:rPr>
        <w:t>Description of Securities to Be Registered</w:t>
      </w:r>
      <w:r w:rsidRPr="00AB6666">
        <w:rPr>
          <w:rFonts w:asciiTheme="majorHAnsi" w:hAnsiTheme="majorHAnsi"/>
        </w:rPr>
        <w:t>.</w:t>
      </w:r>
      <w:proofErr w:type="gramEnd"/>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 </w:t>
      </w: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Furnish the information required by Section 5 and 19 of the ETF Rules, Part II, paragraph (B) of “Annex C, as amended”. </w:t>
      </w:r>
    </w:p>
    <w:p w:rsidR="00EC7D1B" w:rsidRPr="00AB6666" w:rsidRDefault="00EC7D1B" w:rsidP="00EC7D1B">
      <w:pPr>
        <w:spacing w:line="240" w:lineRule="atLeast"/>
        <w:jc w:val="both"/>
        <w:rPr>
          <w:rFonts w:asciiTheme="majorHAnsi" w:hAnsiTheme="majorHAnsi"/>
          <w:b/>
        </w:rPr>
      </w:pPr>
      <w:r w:rsidRPr="00AB6666">
        <w:rPr>
          <w:rFonts w:asciiTheme="majorHAnsi" w:hAnsiTheme="majorHAnsi"/>
        </w:rPr>
        <w:t xml:space="preserve"> </w:t>
      </w:r>
    </w:p>
    <w:p w:rsidR="00EC7D1B" w:rsidRPr="00AB6666" w:rsidRDefault="00EC7D1B" w:rsidP="00EC7D1B">
      <w:pPr>
        <w:spacing w:line="240" w:lineRule="atLeast"/>
        <w:jc w:val="both"/>
        <w:rPr>
          <w:rFonts w:asciiTheme="majorHAnsi" w:hAnsiTheme="majorHAnsi"/>
        </w:rPr>
      </w:pPr>
      <w:proofErr w:type="gramStart"/>
      <w:r w:rsidRPr="00AB6666">
        <w:rPr>
          <w:rFonts w:asciiTheme="majorHAnsi" w:hAnsiTheme="majorHAnsi"/>
          <w:b/>
        </w:rPr>
        <w:t>Item 10.</w:t>
      </w:r>
      <w:proofErr w:type="gramEnd"/>
      <w:r w:rsidRPr="00AB6666">
        <w:rPr>
          <w:rFonts w:asciiTheme="majorHAnsi" w:hAnsiTheme="majorHAnsi"/>
        </w:rPr>
        <w:tab/>
      </w:r>
      <w:proofErr w:type="gramStart"/>
      <w:r w:rsidRPr="00AB6666">
        <w:rPr>
          <w:rFonts w:asciiTheme="majorHAnsi" w:hAnsiTheme="majorHAnsi"/>
          <w:u w:val="single"/>
        </w:rPr>
        <w:t>Interests of Named Experts and Independent Counsel</w:t>
      </w:r>
      <w:r w:rsidRPr="00AB6666">
        <w:rPr>
          <w:rFonts w:asciiTheme="majorHAnsi" w:hAnsiTheme="majorHAnsi"/>
        </w:rPr>
        <w:t>.</w:t>
      </w:r>
      <w:proofErr w:type="gramEnd"/>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 </w:t>
      </w: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Furnish the information required by Part VI, paragraph (L) of “Annex C, as amended”. </w:t>
      </w:r>
    </w:p>
    <w:p w:rsidR="00EC7D1B" w:rsidRPr="00AB6666" w:rsidRDefault="00EC7D1B" w:rsidP="00EC7D1B">
      <w:pPr>
        <w:spacing w:line="240" w:lineRule="atLeast"/>
        <w:jc w:val="both"/>
        <w:rPr>
          <w:rFonts w:asciiTheme="majorHAnsi" w:hAnsiTheme="majorHAnsi"/>
          <w:b/>
        </w:rPr>
      </w:pPr>
      <w:r w:rsidRPr="00AB6666">
        <w:rPr>
          <w:rFonts w:asciiTheme="majorHAnsi" w:hAnsiTheme="majorHAnsi"/>
          <w:b/>
        </w:rPr>
        <w:t xml:space="preserve"> </w:t>
      </w:r>
    </w:p>
    <w:p w:rsidR="00EC7D1B" w:rsidRPr="00AB6666" w:rsidRDefault="00EC7D1B" w:rsidP="00EC7D1B">
      <w:pPr>
        <w:spacing w:line="240" w:lineRule="atLeast"/>
        <w:jc w:val="both"/>
        <w:rPr>
          <w:rFonts w:asciiTheme="majorHAnsi" w:hAnsiTheme="majorHAnsi"/>
        </w:rPr>
      </w:pPr>
      <w:proofErr w:type="gramStart"/>
      <w:r w:rsidRPr="00AB6666">
        <w:rPr>
          <w:rFonts w:asciiTheme="majorHAnsi" w:hAnsiTheme="majorHAnsi"/>
          <w:b/>
        </w:rPr>
        <w:t>Item 11.</w:t>
      </w:r>
      <w:proofErr w:type="gramEnd"/>
      <w:r w:rsidRPr="00AB6666">
        <w:rPr>
          <w:rFonts w:asciiTheme="majorHAnsi" w:hAnsiTheme="majorHAnsi"/>
        </w:rPr>
        <w:tab/>
      </w:r>
      <w:proofErr w:type="gramStart"/>
      <w:r w:rsidRPr="00AB6666">
        <w:rPr>
          <w:rFonts w:asciiTheme="majorHAnsi" w:hAnsiTheme="majorHAnsi"/>
          <w:u w:val="single"/>
        </w:rPr>
        <w:t>Information with Respect to the Registrant</w:t>
      </w:r>
      <w:r w:rsidRPr="00AB6666">
        <w:rPr>
          <w:rFonts w:asciiTheme="majorHAnsi" w:hAnsiTheme="majorHAnsi"/>
        </w:rPr>
        <w:t>.</w:t>
      </w:r>
      <w:proofErr w:type="gramEnd"/>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 </w:t>
      </w: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Furnish the following information with respect to the registrant:</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ind w:left="1440" w:hanging="720"/>
        <w:jc w:val="both"/>
        <w:rPr>
          <w:rFonts w:asciiTheme="majorHAnsi" w:hAnsiTheme="majorHAnsi"/>
        </w:rPr>
      </w:pPr>
      <w:r w:rsidRPr="00AB6666">
        <w:rPr>
          <w:rFonts w:asciiTheme="majorHAnsi" w:hAnsiTheme="majorHAnsi"/>
        </w:rPr>
        <w:t>(a)</w:t>
      </w:r>
      <w:r w:rsidRPr="00AB6666">
        <w:rPr>
          <w:rFonts w:asciiTheme="majorHAnsi" w:hAnsiTheme="majorHAnsi"/>
        </w:rPr>
        <w:tab/>
        <w:t>Information required by Part I, paragraph (A) of “Annex C, as amended”, Description of Business;</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ind w:left="1440" w:hanging="720"/>
        <w:jc w:val="both"/>
        <w:rPr>
          <w:rFonts w:asciiTheme="majorHAnsi" w:hAnsiTheme="majorHAnsi"/>
        </w:rPr>
      </w:pPr>
      <w:r w:rsidRPr="00AB6666">
        <w:rPr>
          <w:rFonts w:asciiTheme="majorHAnsi" w:hAnsiTheme="majorHAnsi"/>
        </w:rPr>
        <w:t>(b)</w:t>
      </w:r>
      <w:r w:rsidRPr="00AB6666">
        <w:rPr>
          <w:rFonts w:asciiTheme="majorHAnsi" w:hAnsiTheme="majorHAnsi"/>
        </w:rPr>
        <w:tab/>
        <w:t>Information required by Part I, paragraph (B) of “Annex C, as amended”, Description of Property;</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ind w:left="1440" w:hanging="720"/>
        <w:jc w:val="both"/>
        <w:rPr>
          <w:rFonts w:asciiTheme="majorHAnsi" w:hAnsiTheme="majorHAnsi"/>
        </w:rPr>
      </w:pPr>
      <w:r w:rsidRPr="00AB6666">
        <w:rPr>
          <w:rFonts w:asciiTheme="majorHAnsi" w:hAnsiTheme="majorHAnsi"/>
        </w:rPr>
        <w:t>(c)</w:t>
      </w:r>
      <w:r w:rsidRPr="00AB6666">
        <w:rPr>
          <w:rFonts w:asciiTheme="majorHAnsi" w:hAnsiTheme="majorHAnsi"/>
        </w:rPr>
        <w:tab/>
        <w:t>Information required by Part I, paragraph (C) of “Annex C, as amended”, Legal Proceedings;</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numPr>
          <w:ilvl w:val="0"/>
          <w:numId w:val="2"/>
        </w:numPr>
        <w:tabs>
          <w:tab w:val="left" w:pos="9270"/>
        </w:tabs>
        <w:spacing w:line="240" w:lineRule="atLeast"/>
        <w:ind w:right="90"/>
        <w:jc w:val="both"/>
        <w:rPr>
          <w:rFonts w:asciiTheme="majorHAnsi" w:hAnsiTheme="majorHAnsi"/>
        </w:rPr>
      </w:pPr>
      <w:r w:rsidRPr="00AB6666">
        <w:rPr>
          <w:rFonts w:asciiTheme="majorHAnsi" w:hAnsiTheme="majorHAnsi"/>
        </w:rPr>
        <w:t>Where common equity securities are being offered, information required by Section 19 (n) of the ETF Rules, Part II, paragraph (A)(1) through (4) of “Annex C, as amended”, Market Price of and Dividends on the Registrant's Common Equity and Related Stockholder Matters;</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numPr>
          <w:ilvl w:val="0"/>
          <w:numId w:val="2"/>
        </w:numPr>
        <w:tabs>
          <w:tab w:val="left" w:pos="9360"/>
        </w:tabs>
        <w:spacing w:line="240" w:lineRule="atLeast"/>
        <w:jc w:val="both"/>
        <w:rPr>
          <w:rFonts w:asciiTheme="majorHAnsi" w:hAnsiTheme="majorHAnsi"/>
        </w:rPr>
      </w:pPr>
      <w:r w:rsidRPr="00AB6666">
        <w:rPr>
          <w:rFonts w:asciiTheme="majorHAnsi" w:hAnsiTheme="majorHAnsi"/>
        </w:rPr>
        <w:t>Information required by Part III, paragraph (A) of “Annex C, as amended”, Management's</w:t>
      </w:r>
    </w:p>
    <w:p w:rsidR="00EC7D1B" w:rsidRPr="00AB6666" w:rsidRDefault="00EC7D1B" w:rsidP="00EC7D1B">
      <w:pPr>
        <w:tabs>
          <w:tab w:val="left" w:pos="9360"/>
        </w:tabs>
        <w:spacing w:line="240" w:lineRule="atLeast"/>
        <w:ind w:left="720"/>
        <w:jc w:val="both"/>
        <w:rPr>
          <w:rFonts w:asciiTheme="majorHAnsi" w:hAnsiTheme="majorHAnsi"/>
        </w:rPr>
      </w:pPr>
      <w:r w:rsidRPr="00AB6666">
        <w:rPr>
          <w:rFonts w:asciiTheme="majorHAnsi" w:hAnsiTheme="majorHAnsi"/>
        </w:rPr>
        <w:t xml:space="preserve">            Discussion and Analysis or Plan of Operation;</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numPr>
          <w:ilvl w:val="0"/>
          <w:numId w:val="2"/>
        </w:numPr>
        <w:spacing w:line="240" w:lineRule="atLeast"/>
        <w:jc w:val="both"/>
        <w:rPr>
          <w:rFonts w:asciiTheme="majorHAnsi" w:hAnsiTheme="majorHAnsi"/>
        </w:rPr>
      </w:pPr>
      <w:r w:rsidRPr="00AB6666">
        <w:rPr>
          <w:rFonts w:asciiTheme="majorHAnsi" w:hAnsiTheme="majorHAnsi"/>
        </w:rPr>
        <w:t>Information required by Part III, paragraph (B) of “Annex C, as amended”, Changes in and Disagreements With Accountants On Accounting and Financial Disclosures;</w:t>
      </w:r>
    </w:p>
    <w:p w:rsidR="00EC7D1B" w:rsidRPr="00AB6666" w:rsidRDefault="00EC7D1B" w:rsidP="00EC7D1B">
      <w:pPr>
        <w:pStyle w:val="ListParagraph"/>
        <w:spacing w:line="240" w:lineRule="atLeast"/>
        <w:ind w:left="1440"/>
        <w:rPr>
          <w:rFonts w:asciiTheme="majorHAnsi" w:hAnsiTheme="majorHAnsi"/>
          <w:b/>
        </w:rPr>
      </w:pPr>
    </w:p>
    <w:p w:rsidR="00EC7D1B" w:rsidRPr="00AB6666" w:rsidRDefault="00EC7D1B" w:rsidP="00EC7D1B">
      <w:pPr>
        <w:pStyle w:val="ListParagraph"/>
        <w:spacing w:line="240" w:lineRule="atLeast"/>
        <w:ind w:left="0"/>
        <w:jc w:val="center"/>
        <w:rPr>
          <w:rFonts w:asciiTheme="majorHAnsi" w:hAnsiTheme="majorHAnsi"/>
          <w:b/>
        </w:rPr>
      </w:pPr>
      <w:r w:rsidRPr="00AB6666">
        <w:rPr>
          <w:rFonts w:asciiTheme="majorHAnsi" w:hAnsiTheme="majorHAnsi"/>
          <w:b/>
        </w:rPr>
        <w:t xml:space="preserve">PART III – CONTROL AND COMPENSATION INFORMATION </w:t>
      </w:r>
    </w:p>
    <w:p w:rsidR="00EC7D1B" w:rsidRPr="00AB6666" w:rsidRDefault="00EC7D1B" w:rsidP="00EC7D1B">
      <w:pPr>
        <w:pStyle w:val="ListParagraph"/>
        <w:spacing w:line="240" w:lineRule="atLeast"/>
        <w:ind w:left="0"/>
        <w:jc w:val="both"/>
        <w:rPr>
          <w:rFonts w:asciiTheme="majorHAnsi" w:hAnsiTheme="majorHAnsi"/>
        </w:rPr>
      </w:pPr>
    </w:p>
    <w:p w:rsidR="00EC7D1B" w:rsidRPr="00AB6666" w:rsidRDefault="00EC7D1B" w:rsidP="00EC7D1B">
      <w:pPr>
        <w:pStyle w:val="ListParagraph"/>
        <w:spacing w:line="240" w:lineRule="atLeast"/>
        <w:ind w:left="0"/>
        <w:jc w:val="both"/>
        <w:rPr>
          <w:rFonts w:asciiTheme="majorHAnsi" w:hAnsiTheme="majorHAnsi"/>
          <w:b/>
        </w:rPr>
      </w:pPr>
      <w:r w:rsidRPr="00AB6666">
        <w:rPr>
          <w:rFonts w:asciiTheme="majorHAnsi" w:hAnsiTheme="majorHAnsi"/>
        </w:rPr>
        <w:t>Provide the additional information with respect to the registrant:</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numPr>
          <w:ilvl w:val="0"/>
          <w:numId w:val="2"/>
        </w:numPr>
        <w:spacing w:line="240" w:lineRule="atLeast"/>
        <w:ind w:right="720"/>
        <w:jc w:val="both"/>
        <w:rPr>
          <w:rFonts w:asciiTheme="majorHAnsi" w:hAnsiTheme="majorHAnsi"/>
        </w:rPr>
      </w:pPr>
      <w:r w:rsidRPr="00AB6666">
        <w:rPr>
          <w:rFonts w:asciiTheme="majorHAnsi" w:hAnsiTheme="majorHAnsi"/>
        </w:rPr>
        <w:t>Information required by Sections 14 and 15 of the ETF Rules , Part IV, paragraph (A) of “Annex C, as amended”, Directors, Executive Officers, Promoters, Index Provider and Control Persons;</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numPr>
          <w:ilvl w:val="0"/>
          <w:numId w:val="2"/>
        </w:numPr>
        <w:spacing w:line="240" w:lineRule="atLeast"/>
        <w:jc w:val="both"/>
        <w:rPr>
          <w:rFonts w:asciiTheme="majorHAnsi" w:hAnsiTheme="majorHAnsi"/>
        </w:rPr>
      </w:pPr>
      <w:r w:rsidRPr="00AB6666">
        <w:rPr>
          <w:rFonts w:asciiTheme="majorHAnsi" w:hAnsiTheme="majorHAnsi"/>
        </w:rPr>
        <w:t xml:space="preserve">Information required by Part IV, paragraph (B) of “Annex C, as amended”, Executive Compensation; </w:t>
      </w:r>
    </w:p>
    <w:p w:rsidR="00EC7D1B" w:rsidRPr="00AB6666" w:rsidRDefault="00EC7D1B" w:rsidP="00EC7D1B">
      <w:pPr>
        <w:spacing w:line="240" w:lineRule="atLeast"/>
        <w:ind w:left="720"/>
        <w:jc w:val="both"/>
        <w:rPr>
          <w:rFonts w:asciiTheme="majorHAnsi" w:hAnsiTheme="majorHAnsi"/>
        </w:rPr>
      </w:pPr>
      <w:r w:rsidRPr="00AB6666">
        <w:rPr>
          <w:rFonts w:asciiTheme="majorHAnsi" w:hAnsiTheme="majorHAnsi"/>
        </w:rPr>
        <w:t xml:space="preserve">            </w:t>
      </w:r>
    </w:p>
    <w:p w:rsidR="00EC7D1B" w:rsidRPr="00AB6666" w:rsidRDefault="00EC7D1B" w:rsidP="00EC7D1B">
      <w:pPr>
        <w:numPr>
          <w:ilvl w:val="0"/>
          <w:numId w:val="2"/>
        </w:numPr>
        <w:spacing w:line="240" w:lineRule="atLeast"/>
        <w:jc w:val="both"/>
        <w:rPr>
          <w:rFonts w:asciiTheme="majorHAnsi" w:hAnsiTheme="majorHAnsi"/>
        </w:rPr>
      </w:pPr>
      <w:r w:rsidRPr="00AB6666">
        <w:rPr>
          <w:rFonts w:asciiTheme="majorHAnsi" w:hAnsiTheme="majorHAnsi"/>
        </w:rPr>
        <w:t xml:space="preserve">Information required by Section 19 of the ETF Rules, Part IV, paragraph (C) of “Annex C, as amended”, Security Ownership of Certain Record and Beneficial Owners and Management; </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numPr>
          <w:ilvl w:val="0"/>
          <w:numId w:val="2"/>
        </w:numPr>
        <w:spacing w:line="240" w:lineRule="atLeast"/>
        <w:jc w:val="both"/>
        <w:rPr>
          <w:rFonts w:asciiTheme="majorHAnsi" w:hAnsiTheme="majorHAnsi"/>
        </w:rPr>
      </w:pPr>
      <w:r w:rsidRPr="00AB6666">
        <w:rPr>
          <w:rFonts w:asciiTheme="majorHAnsi" w:hAnsiTheme="majorHAnsi"/>
        </w:rPr>
        <w:t>Information required by Part IV, Section (D) of “Annex C, as amended”, Certain Relationships and Related Transactions.</w:t>
      </w:r>
    </w:p>
    <w:p w:rsidR="00EC7D1B" w:rsidRPr="00AB6666" w:rsidRDefault="00EC7D1B" w:rsidP="00EC7D1B">
      <w:pPr>
        <w:spacing w:before="240" w:line="240" w:lineRule="atLeast"/>
        <w:jc w:val="both"/>
        <w:rPr>
          <w:rFonts w:asciiTheme="majorHAnsi" w:hAnsiTheme="majorHAnsi"/>
          <w:u w:val="single"/>
        </w:rPr>
      </w:pPr>
      <w:proofErr w:type="gramStart"/>
      <w:r w:rsidRPr="00AB6666">
        <w:rPr>
          <w:rFonts w:asciiTheme="majorHAnsi" w:hAnsiTheme="majorHAnsi"/>
          <w:b/>
        </w:rPr>
        <w:lastRenderedPageBreak/>
        <w:t>Item 12.</w:t>
      </w:r>
      <w:proofErr w:type="gramEnd"/>
      <w:r w:rsidRPr="00AB6666">
        <w:rPr>
          <w:rFonts w:asciiTheme="majorHAnsi" w:hAnsiTheme="majorHAnsi"/>
        </w:rPr>
        <w:t xml:space="preserve"> </w:t>
      </w:r>
      <w:r w:rsidRPr="00AB6666">
        <w:rPr>
          <w:rFonts w:asciiTheme="majorHAnsi" w:hAnsiTheme="majorHAnsi"/>
        </w:rPr>
        <w:tab/>
      </w:r>
      <w:r w:rsidRPr="00AB6666">
        <w:rPr>
          <w:rFonts w:asciiTheme="majorHAnsi" w:hAnsiTheme="majorHAnsi"/>
          <w:u w:val="single"/>
        </w:rPr>
        <w:t>Financial Information</w:t>
      </w:r>
    </w:p>
    <w:p w:rsidR="00EC7D1B" w:rsidRPr="00AB6666" w:rsidRDefault="00EC7D1B" w:rsidP="00EC7D1B">
      <w:pPr>
        <w:spacing w:line="240" w:lineRule="atLeast"/>
        <w:jc w:val="both"/>
        <w:rPr>
          <w:rFonts w:asciiTheme="majorHAnsi" w:hAnsiTheme="majorHAnsi"/>
          <w:u w:val="single"/>
        </w:rPr>
      </w:pPr>
    </w:p>
    <w:p w:rsidR="00EC7D1B" w:rsidRPr="00AB6666" w:rsidRDefault="00EC7D1B" w:rsidP="00EC7D1B">
      <w:pPr>
        <w:spacing w:line="240" w:lineRule="atLeast"/>
        <w:jc w:val="both"/>
        <w:rPr>
          <w:rFonts w:asciiTheme="majorHAnsi" w:hAnsiTheme="majorHAnsi"/>
          <w:u w:val="single"/>
        </w:rPr>
      </w:pPr>
      <w:r w:rsidRPr="00AB6666">
        <w:rPr>
          <w:rFonts w:asciiTheme="majorHAnsi" w:hAnsiTheme="majorHAnsi"/>
        </w:rPr>
        <w:t>Furnish financial information as required by SRC Rule 68, as amended.</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ind w:firstLine="720"/>
        <w:jc w:val="center"/>
        <w:rPr>
          <w:rFonts w:asciiTheme="majorHAnsi" w:hAnsiTheme="majorHAnsi"/>
          <w:b/>
        </w:rPr>
      </w:pPr>
      <w:r w:rsidRPr="00AB6666">
        <w:rPr>
          <w:rFonts w:asciiTheme="majorHAnsi" w:hAnsiTheme="majorHAnsi"/>
          <w:b/>
        </w:rPr>
        <w:t>PART IV - THE FOLLOWING ADDITIONAL INFORMATION                                                                   SHOULD BE PROVIDED IN THE PROSPECTUS</w:t>
      </w:r>
    </w:p>
    <w:p w:rsidR="00EC7D1B" w:rsidRPr="00AB6666" w:rsidRDefault="00EC7D1B" w:rsidP="00EC7D1B">
      <w:pPr>
        <w:spacing w:line="240" w:lineRule="atLeast"/>
        <w:rPr>
          <w:rFonts w:asciiTheme="majorHAnsi" w:hAnsiTheme="majorHAnsi"/>
        </w:rPr>
      </w:pPr>
    </w:p>
    <w:p w:rsidR="00EC7D1B" w:rsidRPr="00AB6666" w:rsidRDefault="00EC7D1B" w:rsidP="00EC7D1B">
      <w:pPr>
        <w:spacing w:before="240" w:line="240" w:lineRule="atLeast"/>
        <w:rPr>
          <w:rFonts w:asciiTheme="majorHAnsi" w:hAnsiTheme="majorHAnsi"/>
        </w:rPr>
      </w:pPr>
      <w:r w:rsidRPr="00AB6666">
        <w:rPr>
          <w:rFonts w:asciiTheme="majorHAnsi" w:hAnsiTheme="majorHAnsi"/>
        </w:rPr>
        <w:t>Furnish the following information with respect to the registrant:</w:t>
      </w:r>
    </w:p>
    <w:p w:rsidR="00EC7D1B" w:rsidRPr="00AB6666" w:rsidRDefault="00EC7D1B" w:rsidP="00EC7D1B">
      <w:pPr>
        <w:spacing w:line="240" w:lineRule="atLeast"/>
        <w:rPr>
          <w:rFonts w:asciiTheme="majorHAnsi" w:hAnsiTheme="majorHAnsi"/>
        </w:rPr>
      </w:pPr>
    </w:p>
    <w:p w:rsidR="00EC7D1B" w:rsidRPr="00AB6666" w:rsidRDefault="00EC7D1B" w:rsidP="00EC7D1B">
      <w:pPr>
        <w:pStyle w:val="ListParagraph"/>
        <w:numPr>
          <w:ilvl w:val="0"/>
          <w:numId w:val="3"/>
        </w:numPr>
        <w:spacing w:line="240" w:lineRule="atLeast"/>
        <w:rPr>
          <w:rFonts w:asciiTheme="majorHAnsi" w:hAnsiTheme="majorHAnsi"/>
        </w:rPr>
      </w:pPr>
      <w:r w:rsidRPr="00AB6666">
        <w:rPr>
          <w:rFonts w:asciiTheme="majorHAnsi" w:hAnsiTheme="majorHAnsi"/>
        </w:rPr>
        <w:t>Information required by Section 7.5 of the ETF Rules on Investment Objectives and Policies.</w:t>
      </w:r>
    </w:p>
    <w:p w:rsidR="00EC7D1B" w:rsidRPr="00AB6666" w:rsidRDefault="00EC7D1B" w:rsidP="00EC7D1B">
      <w:pPr>
        <w:pStyle w:val="ListParagraph"/>
        <w:numPr>
          <w:ilvl w:val="0"/>
          <w:numId w:val="3"/>
        </w:numPr>
        <w:spacing w:line="240" w:lineRule="atLeast"/>
        <w:rPr>
          <w:rFonts w:asciiTheme="majorHAnsi" w:hAnsiTheme="majorHAnsi"/>
        </w:rPr>
      </w:pPr>
      <w:r w:rsidRPr="00AB6666">
        <w:rPr>
          <w:rFonts w:asciiTheme="majorHAnsi" w:hAnsiTheme="majorHAnsi"/>
        </w:rPr>
        <w:t>Information required by Sections 14 and 23 of the ETF Rules on Index and Index Provider.</w:t>
      </w:r>
    </w:p>
    <w:p w:rsidR="00EC7D1B" w:rsidRPr="00AB6666" w:rsidRDefault="00EC7D1B" w:rsidP="00EC7D1B">
      <w:pPr>
        <w:pStyle w:val="ListParagraph"/>
        <w:numPr>
          <w:ilvl w:val="0"/>
          <w:numId w:val="3"/>
        </w:numPr>
        <w:spacing w:line="240" w:lineRule="atLeast"/>
        <w:rPr>
          <w:rFonts w:asciiTheme="majorHAnsi" w:hAnsiTheme="majorHAnsi"/>
        </w:rPr>
      </w:pPr>
      <w:r w:rsidRPr="00AB6666">
        <w:rPr>
          <w:rFonts w:asciiTheme="majorHAnsi" w:hAnsiTheme="majorHAnsi"/>
        </w:rPr>
        <w:t>Information required by Section 23 of the ETF Rules on Premium and Discount Information.</w:t>
      </w:r>
    </w:p>
    <w:p w:rsidR="00EC7D1B" w:rsidRPr="00AB6666" w:rsidRDefault="00EC7D1B" w:rsidP="00EC7D1B">
      <w:pPr>
        <w:pStyle w:val="ListParagraph"/>
        <w:numPr>
          <w:ilvl w:val="0"/>
          <w:numId w:val="3"/>
        </w:numPr>
        <w:spacing w:line="240" w:lineRule="atLeast"/>
        <w:rPr>
          <w:rFonts w:asciiTheme="majorHAnsi" w:hAnsiTheme="majorHAnsi"/>
        </w:rPr>
      </w:pPr>
      <w:r w:rsidRPr="00AB6666">
        <w:rPr>
          <w:rFonts w:asciiTheme="majorHAnsi" w:hAnsiTheme="majorHAnsi"/>
        </w:rPr>
        <w:t>Information required by Section 11 of the ETF Rules on In-Kind Issuance and Redemption of ETF Shares.</w:t>
      </w:r>
    </w:p>
    <w:p w:rsidR="00EC7D1B" w:rsidRPr="00AB6666" w:rsidRDefault="00EC7D1B" w:rsidP="00EC7D1B">
      <w:pPr>
        <w:pStyle w:val="ListParagraph"/>
        <w:numPr>
          <w:ilvl w:val="0"/>
          <w:numId w:val="3"/>
        </w:numPr>
        <w:spacing w:line="240" w:lineRule="atLeast"/>
        <w:rPr>
          <w:rFonts w:asciiTheme="majorHAnsi" w:hAnsiTheme="majorHAnsi"/>
        </w:rPr>
      </w:pPr>
      <w:r w:rsidRPr="00AB6666">
        <w:rPr>
          <w:rFonts w:asciiTheme="majorHAnsi" w:hAnsiTheme="majorHAnsi"/>
        </w:rPr>
        <w:t>Information required by Section 12 of the ETF Rules on Issuance of ETF Shares in Exchange for Cash.</w:t>
      </w:r>
    </w:p>
    <w:p w:rsidR="00EC7D1B" w:rsidRPr="00AB6666" w:rsidRDefault="00EC7D1B" w:rsidP="00EC7D1B">
      <w:pPr>
        <w:pStyle w:val="ListParagraph"/>
        <w:numPr>
          <w:ilvl w:val="0"/>
          <w:numId w:val="3"/>
        </w:numPr>
        <w:spacing w:line="240" w:lineRule="atLeast"/>
        <w:rPr>
          <w:rFonts w:asciiTheme="majorHAnsi" w:hAnsiTheme="majorHAnsi"/>
        </w:rPr>
      </w:pPr>
      <w:r w:rsidRPr="00AB6666">
        <w:rPr>
          <w:rFonts w:asciiTheme="majorHAnsi" w:hAnsiTheme="majorHAnsi"/>
        </w:rPr>
        <w:t>Information required by Section 13 of the ETF Rules on Direct Redemption.</w:t>
      </w:r>
    </w:p>
    <w:p w:rsidR="00EC7D1B" w:rsidRPr="00AB6666" w:rsidRDefault="00EC7D1B" w:rsidP="00EC7D1B">
      <w:pPr>
        <w:pStyle w:val="ListParagraph"/>
        <w:numPr>
          <w:ilvl w:val="0"/>
          <w:numId w:val="3"/>
        </w:numPr>
        <w:spacing w:line="240" w:lineRule="atLeast"/>
        <w:rPr>
          <w:rFonts w:asciiTheme="majorHAnsi" w:hAnsiTheme="majorHAnsi"/>
        </w:rPr>
      </w:pPr>
      <w:r w:rsidRPr="00AB6666">
        <w:rPr>
          <w:rFonts w:asciiTheme="majorHAnsi" w:hAnsiTheme="majorHAnsi"/>
        </w:rPr>
        <w:t>Information required by Section 8 of the ETF Rules on Liquidity of the ETF Shares and the Underlying Securities.</w:t>
      </w:r>
    </w:p>
    <w:p w:rsidR="00EC7D1B" w:rsidRPr="00AB6666" w:rsidRDefault="00EC7D1B" w:rsidP="00EC7D1B">
      <w:pPr>
        <w:pStyle w:val="ListParagraph"/>
        <w:numPr>
          <w:ilvl w:val="0"/>
          <w:numId w:val="3"/>
        </w:numPr>
        <w:spacing w:line="240" w:lineRule="atLeast"/>
        <w:rPr>
          <w:rFonts w:asciiTheme="majorHAnsi" w:hAnsiTheme="majorHAnsi"/>
        </w:rPr>
      </w:pPr>
      <w:r w:rsidRPr="00AB6666">
        <w:rPr>
          <w:rFonts w:asciiTheme="majorHAnsi" w:hAnsiTheme="majorHAnsi"/>
        </w:rPr>
        <w:t>Information required by Section 19 of the ETF Rules on Tracking Error.</w:t>
      </w:r>
    </w:p>
    <w:p w:rsidR="00EC7D1B" w:rsidRPr="00AB6666" w:rsidRDefault="00EC7D1B" w:rsidP="00EC7D1B">
      <w:pPr>
        <w:pStyle w:val="ListParagraph"/>
        <w:numPr>
          <w:ilvl w:val="0"/>
          <w:numId w:val="3"/>
        </w:numPr>
        <w:spacing w:line="240" w:lineRule="atLeast"/>
        <w:rPr>
          <w:rFonts w:asciiTheme="majorHAnsi" w:hAnsiTheme="majorHAnsi"/>
        </w:rPr>
      </w:pPr>
      <w:r w:rsidRPr="00AB6666">
        <w:rPr>
          <w:rFonts w:asciiTheme="majorHAnsi" w:hAnsiTheme="majorHAnsi"/>
        </w:rPr>
        <w:t>Information required by Section 25 of the ETF Rules on Securities Lending Activity.</w:t>
      </w:r>
    </w:p>
    <w:p w:rsidR="00EC7D1B" w:rsidRPr="00AB6666" w:rsidRDefault="00EC7D1B" w:rsidP="00EC7D1B">
      <w:pPr>
        <w:pStyle w:val="ListParagraph"/>
        <w:spacing w:line="240" w:lineRule="atLeast"/>
        <w:ind w:left="1440"/>
        <w:rPr>
          <w:rFonts w:asciiTheme="majorHAnsi" w:hAnsiTheme="majorHAnsi"/>
        </w:rPr>
      </w:pP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before="240" w:line="240" w:lineRule="atLeast"/>
        <w:jc w:val="center"/>
        <w:rPr>
          <w:rFonts w:asciiTheme="majorHAnsi" w:hAnsiTheme="majorHAnsi"/>
          <w:b/>
        </w:rPr>
      </w:pPr>
      <w:r w:rsidRPr="00AB6666">
        <w:rPr>
          <w:rFonts w:asciiTheme="majorHAnsi" w:hAnsiTheme="majorHAnsi"/>
          <w:b/>
        </w:rPr>
        <w:t>PART V - INFORMATION INCLUDED IN REGISTRATION STATEMENT</w:t>
      </w:r>
    </w:p>
    <w:p w:rsidR="00EC7D1B" w:rsidRPr="00AB6666" w:rsidRDefault="00EC7D1B" w:rsidP="00EC7D1B">
      <w:pPr>
        <w:spacing w:line="240" w:lineRule="atLeast"/>
        <w:jc w:val="center"/>
        <w:rPr>
          <w:rFonts w:asciiTheme="majorHAnsi" w:hAnsiTheme="majorHAnsi"/>
          <w:b/>
        </w:rPr>
      </w:pPr>
      <w:r w:rsidRPr="00AB6666">
        <w:rPr>
          <w:rFonts w:asciiTheme="majorHAnsi" w:hAnsiTheme="majorHAnsi"/>
          <w:b/>
        </w:rPr>
        <w:t>BUT NOT REQUIRED IN PROSPECTUS</w:t>
      </w:r>
    </w:p>
    <w:p w:rsidR="00EC7D1B" w:rsidRPr="00AB6666" w:rsidRDefault="00EC7D1B" w:rsidP="00EC7D1B">
      <w:pPr>
        <w:spacing w:line="240" w:lineRule="atLeast"/>
        <w:jc w:val="both"/>
        <w:rPr>
          <w:rFonts w:asciiTheme="majorHAnsi" w:hAnsiTheme="majorHAnsi"/>
          <w:b/>
        </w:rPr>
      </w:pPr>
    </w:p>
    <w:p w:rsidR="00EC7D1B" w:rsidRPr="00AB6666" w:rsidRDefault="00EC7D1B" w:rsidP="00EC7D1B">
      <w:pPr>
        <w:spacing w:before="240" w:line="240" w:lineRule="atLeast"/>
        <w:jc w:val="both"/>
        <w:rPr>
          <w:rFonts w:asciiTheme="majorHAnsi" w:hAnsiTheme="majorHAnsi"/>
        </w:rPr>
      </w:pPr>
      <w:proofErr w:type="gramStart"/>
      <w:r w:rsidRPr="00AB6666">
        <w:rPr>
          <w:rFonts w:asciiTheme="majorHAnsi" w:hAnsiTheme="majorHAnsi"/>
          <w:b/>
        </w:rPr>
        <w:t>Item 13.</w:t>
      </w:r>
      <w:proofErr w:type="gramEnd"/>
      <w:r w:rsidRPr="00AB6666">
        <w:rPr>
          <w:rFonts w:asciiTheme="majorHAnsi" w:hAnsiTheme="majorHAnsi"/>
        </w:rPr>
        <w:tab/>
      </w:r>
      <w:proofErr w:type="gramStart"/>
      <w:r w:rsidRPr="00AB6666">
        <w:rPr>
          <w:rFonts w:asciiTheme="majorHAnsi" w:hAnsiTheme="majorHAnsi"/>
          <w:u w:val="single"/>
        </w:rPr>
        <w:t>Other Expenses of Issuance and Distribution</w:t>
      </w:r>
      <w:r w:rsidRPr="00AB6666">
        <w:rPr>
          <w:rFonts w:asciiTheme="majorHAnsi" w:hAnsiTheme="majorHAnsi"/>
        </w:rPr>
        <w:t>.</w:t>
      </w:r>
      <w:proofErr w:type="gramEnd"/>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Furnish the information required by Part VI, paragraph (M) of “Annex C, as amended”. </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jc w:val="both"/>
        <w:rPr>
          <w:rFonts w:asciiTheme="majorHAnsi" w:hAnsiTheme="majorHAnsi"/>
        </w:rPr>
      </w:pPr>
      <w:proofErr w:type="gramStart"/>
      <w:r w:rsidRPr="00AB6666">
        <w:rPr>
          <w:rFonts w:asciiTheme="majorHAnsi" w:hAnsiTheme="majorHAnsi"/>
          <w:b/>
        </w:rPr>
        <w:t>Item 14.</w:t>
      </w:r>
      <w:proofErr w:type="gramEnd"/>
      <w:r w:rsidRPr="00AB6666">
        <w:rPr>
          <w:rFonts w:asciiTheme="majorHAnsi" w:hAnsiTheme="majorHAnsi"/>
        </w:rPr>
        <w:tab/>
      </w:r>
      <w:proofErr w:type="gramStart"/>
      <w:r w:rsidRPr="00AB6666">
        <w:rPr>
          <w:rFonts w:asciiTheme="majorHAnsi" w:hAnsiTheme="majorHAnsi"/>
          <w:u w:val="single"/>
        </w:rPr>
        <w:t>Exhibits</w:t>
      </w:r>
      <w:r w:rsidRPr="00AB6666">
        <w:rPr>
          <w:rFonts w:asciiTheme="majorHAnsi" w:hAnsiTheme="majorHAnsi"/>
        </w:rPr>
        <w:t>.</w:t>
      </w:r>
      <w:proofErr w:type="gramEnd"/>
    </w:p>
    <w:p w:rsidR="00EC7D1B" w:rsidRPr="00AB6666" w:rsidRDefault="00EC7D1B" w:rsidP="00EC7D1B">
      <w:pPr>
        <w:spacing w:line="240" w:lineRule="atLeast"/>
        <w:jc w:val="both"/>
        <w:rPr>
          <w:rFonts w:asciiTheme="majorHAnsi" w:hAnsiTheme="majorHAnsi"/>
        </w:rPr>
      </w:pPr>
    </w:p>
    <w:p w:rsidR="00C6693F" w:rsidRDefault="00EC7D1B" w:rsidP="00EC7D1B">
      <w:pPr>
        <w:rPr>
          <w:rFonts w:asciiTheme="majorHAnsi" w:hAnsiTheme="majorHAnsi"/>
        </w:rPr>
      </w:pPr>
      <w:r w:rsidRPr="00AB6666">
        <w:rPr>
          <w:rFonts w:asciiTheme="majorHAnsi" w:hAnsiTheme="majorHAnsi"/>
        </w:rPr>
        <w:t>Furnish or incorporate by reference the exhibits required by The ETF Rules and Part VII of “Annex C, as amended”, and any other document the omission of which will render the foregoing material facts or any other part of the Registration Statement misleading.</w:t>
      </w:r>
    </w:p>
    <w:p w:rsidR="00EC7D1B" w:rsidRDefault="00EC7D1B" w:rsidP="00EC7D1B"/>
    <w:p w:rsidR="00EC7D1B" w:rsidRDefault="00EC7D1B" w:rsidP="00EC7D1B"/>
    <w:p w:rsidR="00EC7D1B" w:rsidRDefault="00EC7D1B" w:rsidP="00EC7D1B"/>
    <w:p w:rsidR="00EC7D1B" w:rsidRDefault="00EC7D1B" w:rsidP="00EC7D1B"/>
    <w:p w:rsidR="00EC7D1B" w:rsidRDefault="00EC7D1B" w:rsidP="00EC7D1B"/>
    <w:p w:rsidR="00EC7D1B" w:rsidRDefault="00EC7D1B" w:rsidP="00EC7D1B"/>
    <w:p w:rsidR="00EC7D1B" w:rsidRDefault="00EC7D1B" w:rsidP="00EC7D1B"/>
    <w:p w:rsidR="00EC7D1B" w:rsidRDefault="00EC7D1B" w:rsidP="00EC7D1B"/>
    <w:p w:rsidR="00EC7D1B" w:rsidRDefault="00EC7D1B" w:rsidP="00EC7D1B"/>
    <w:p w:rsidR="00EC7D1B" w:rsidRDefault="00EC7D1B" w:rsidP="00EC7D1B"/>
    <w:p w:rsidR="00EC7D1B" w:rsidRDefault="00EC7D1B" w:rsidP="00EC7D1B"/>
    <w:p w:rsidR="00EC7D1B" w:rsidRDefault="00EC7D1B" w:rsidP="00EC7D1B"/>
    <w:p w:rsidR="00EC7D1B" w:rsidRDefault="00EC7D1B" w:rsidP="00EC7D1B"/>
    <w:p w:rsidR="00EC7D1B" w:rsidRDefault="00EC7D1B" w:rsidP="00EC7D1B">
      <w:bookmarkStart w:id="0" w:name="_GoBack"/>
      <w:bookmarkEnd w:id="0"/>
    </w:p>
    <w:p w:rsidR="00EC7D1B" w:rsidRDefault="00EC7D1B" w:rsidP="00EC7D1B"/>
    <w:p w:rsidR="00EC7D1B" w:rsidRPr="00AB6666" w:rsidRDefault="00EC7D1B" w:rsidP="00EC7D1B">
      <w:pPr>
        <w:spacing w:line="240" w:lineRule="atLeast"/>
        <w:jc w:val="center"/>
        <w:rPr>
          <w:rFonts w:asciiTheme="majorHAnsi" w:hAnsiTheme="majorHAnsi"/>
        </w:rPr>
      </w:pPr>
      <w:r w:rsidRPr="00AB6666">
        <w:rPr>
          <w:rFonts w:asciiTheme="majorHAnsi" w:hAnsiTheme="majorHAnsi"/>
          <w:b/>
        </w:rPr>
        <w:t>SIGNATURES</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ab/>
        <w:t>Pursuant to the requirements of the ETF Rules, this registration statement is signed on behalf of the registrant by the undersigned, thereunto duly authorized, in the City of _______________________</w:t>
      </w:r>
      <w:proofErr w:type="gramStart"/>
      <w:r w:rsidRPr="00AB6666">
        <w:rPr>
          <w:rFonts w:asciiTheme="majorHAnsi" w:hAnsiTheme="majorHAnsi"/>
        </w:rPr>
        <w:t>_  on</w:t>
      </w:r>
      <w:proofErr w:type="gramEnd"/>
      <w:r w:rsidRPr="00AB6666">
        <w:rPr>
          <w:rFonts w:asciiTheme="majorHAnsi" w:hAnsiTheme="majorHAnsi"/>
        </w:rPr>
        <w:t>__________, 20__.</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 xml:space="preserve">By:  </w:t>
      </w:r>
      <w:r w:rsidRPr="00AB6666">
        <w:rPr>
          <w:rFonts w:asciiTheme="majorHAnsi" w:hAnsiTheme="majorHAnsi"/>
        </w:rPr>
        <w:tab/>
      </w: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ab/>
      </w:r>
      <w:r w:rsidRPr="00AB6666">
        <w:rPr>
          <w:rFonts w:asciiTheme="majorHAnsi" w:hAnsiTheme="majorHAnsi"/>
        </w:rPr>
        <w:tab/>
      </w:r>
      <w:r w:rsidRPr="00AB6666">
        <w:rPr>
          <w:rFonts w:asciiTheme="majorHAnsi" w:hAnsiTheme="majorHAnsi"/>
        </w:rPr>
        <w:tab/>
        <w:t>_____________________</w:t>
      </w:r>
      <w:r>
        <w:rPr>
          <w:rFonts w:asciiTheme="majorHAnsi" w:hAnsiTheme="majorHAnsi"/>
        </w:rPr>
        <w:t>_________</w:t>
      </w:r>
      <w:r w:rsidRPr="00AB6666">
        <w:rPr>
          <w:rFonts w:asciiTheme="majorHAnsi" w:hAnsiTheme="majorHAnsi"/>
        </w:rPr>
        <w:t>_</w:t>
      </w:r>
      <w:r>
        <w:rPr>
          <w:rFonts w:asciiTheme="majorHAnsi" w:hAnsiTheme="majorHAnsi"/>
        </w:rPr>
        <w:t>_</w:t>
      </w:r>
      <w:r w:rsidRPr="00AB6666">
        <w:rPr>
          <w:rFonts w:asciiTheme="majorHAnsi" w:hAnsiTheme="majorHAnsi"/>
        </w:rPr>
        <w:t xml:space="preserve">           _______________________</w:t>
      </w:r>
      <w:r>
        <w:rPr>
          <w:rFonts w:asciiTheme="majorHAnsi" w:hAnsiTheme="majorHAnsi"/>
        </w:rPr>
        <w:t>_______________</w:t>
      </w: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ab/>
      </w:r>
      <w:r w:rsidRPr="00AB6666">
        <w:rPr>
          <w:rFonts w:asciiTheme="majorHAnsi" w:hAnsiTheme="majorHAnsi"/>
        </w:rPr>
        <w:tab/>
      </w:r>
      <w:r w:rsidRPr="00AB6666">
        <w:rPr>
          <w:rFonts w:asciiTheme="majorHAnsi" w:hAnsiTheme="majorHAnsi"/>
        </w:rPr>
        <w:tab/>
        <w:t>Principal Executive Officer            Comptroller/ Principal Accounting Officer</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ab/>
      </w:r>
      <w:r w:rsidRPr="00AB6666">
        <w:rPr>
          <w:rFonts w:asciiTheme="majorHAnsi" w:hAnsiTheme="majorHAnsi"/>
        </w:rPr>
        <w:tab/>
      </w:r>
      <w:r w:rsidRPr="00AB6666">
        <w:rPr>
          <w:rFonts w:asciiTheme="majorHAnsi" w:hAnsiTheme="majorHAnsi"/>
        </w:rPr>
        <w:tab/>
      </w:r>
      <w:r>
        <w:rPr>
          <w:rFonts w:asciiTheme="majorHAnsi" w:hAnsiTheme="majorHAnsi"/>
        </w:rPr>
        <w:t>__________</w:t>
      </w:r>
      <w:r w:rsidRPr="00AB6666">
        <w:rPr>
          <w:rFonts w:asciiTheme="majorHAnsi" w:hAnsiTheme="majorHAnsi"/>
        </w:rPr>
        <w:t>______________________            ________________________</w:t>
      </w:r>
      <w:r>
        <w:rPr>
          <w:rFonts w:asciiTheme="majorHAnsi" w:hAnsiTheme="majorHAnsi"/>
        </w:rPr>
        <w:t>___________</w:t>
      </w: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ab/>
      </w:r>
      <w:r w:rsidRPr="00AB6666">
        <w:rPr>
          <w:rFonts w:asciiTheme="majorHAnsi" w:hAnsiTheme="majorHAnsi"/>
        </w:rPr>
        <w:tab/>
      </w:r>
      <w:r w:rsidRPr="00AB6666">
        <w:rPr>
          <w:rFonts w:asciiTheme="majorHAnsi" w:hAnsiTheme="majorHAnsi"/>
        </w:rPr>
        <w:tab/>
        <w:t>Principal Financial Officer</w:t>
      </w:r>
      <w:r w:rsidRPr="00AB6666">
        <w:rPr>
          <w:rFonts w:asciiTheme="majorHAnsi" w:hAnsiTheme="majorHAnsi"/>
        </w:rPr>
        <w:tab/>
      </w:r>
      <w:r w:rsidRPr="00AB6666">
        <w:rPr>
          <w:rFonts w:asciiTheme="majorHAnsi" w:hAnsiTheme="majorHAnsi"/>
        </w:rPr>
        <w:tab/>
        <w:t>Director</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ab/>
      </w:r>
      <w:r w:rsidRPr="00AB6666">
        <w:rPr>
          <w:rFonts w:asciiTheme="majorHAnsi" w:hAnsiTheme="majorHAnsi"/>
        </w:rPr>
        <w:tab/>
      </w:r>
      <w:r w:rsidRPr="00AB6666">
        <w:rPr>
          <w:rFonts w:asciiTheme="majorHAnsi" w:hAnsiTheme="majorHAnsi"/>
        </w:rPr>
        <w:tab/>
        <w:t>_____________________</w:t>
      </w:r>
      <w:r>
        <w:rPr>
          <w:rFonts w:asciiTheme="majorHAnsi" w:hAnsiTheme="majorHAnsi"/>
        </w:rPr>
        <w:t>__________</w:t>
      </w:r>
      <w:r w:rsidRPr="00AB6666">
        <w:rPr>
          <w:rFonts w:asciiTheme="majorHAnsi" w:hAnsiTheme="majorHAnsi"/>
        </w:rPr>
        <w:t>_            _______________________</w:t>
      </w:r>
      <w:r>
        <w:rPr>
          <w:rFonts w:asciiTheme="majorHAnsi" w:hAnsiTheme="majorHAnsi"/>
        </w:rPr>
        <w:t>__________</w:t>
      </w:r>
      <w:r w:rsidRPr="00AB6666">
        <w:rPr>
          <w:rFonts w:asciiTheme="majorHAnsi" w:hAnsiTheme="majorHAnsi"/>
        </w:rPr>
        <w:t>__</w:t>
      </w: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ab/>
      </w:r>
      <w:r w:rsidRPr="00AB6666">
        <w:rPr>
          <w:rFonts w:asciiTheme="majorHAnsi" w:hAnsiTheme="majorHAnsi"/>
        </w:rPr>
        <w:tab/>
      </w:r>
      <w:r w:rsidRPr="00AB6666">
        <w:rPr>
          <w:rFonts w:asciiTheme="majorHAnsi" w:hAnsiTheme="majorHAnsi"/>
        </w:rPr>
        <w:tab/>
        <w:t xml:space="preserve">            Director</w:t>
      </w:r>
      <w:r w:rsidRPr="00AB6666">
        <w:rPr>
          <w:rFonts w:asciiTheme="majorHAnsi" w:hAnsiTheme="majorHAnsi"/>
        </w:rPr>
        <w:tab/>
      </w:r>
      <w:r w:rsidRPr="00AB6666">
        <w:rPr>
          <w:rFonts w:asciiTheme="majorHAnsi" w:hAnsiTheme="majorHAnsi"/>
        </w:rPr>
        <w:tab/>
      </w:r>
      <w:r w:rsidRPr="00AB6666">
        <w:rPr>
          <w:rFonts w:asciiTheme="majorHAnsi" w:hAnsiTheme="majorHAnsi"/>
        </w:rPr>
        <w:tab/>
      </w:r>
      <w:r w:rsidRPr="00AB6666">
        <w:rPr>
          <w:rFonts w:asciiTheme="majorHAnsi" w:hAnsiTheme="majorHAnsi"/>
        </w:rPr>
        <w:tab/>
      </w:r>
      <w:proofErr w:type="spellStart"/>
      <w:r w:rsidRPr="00AB6666">
        <w:rPr>
          <w:rFonts w:asciiTheme="majorHAnsi" w:hAnsiTheme="majorHAnsi"/>
        </w:rPr>
        <w:t>Director</w:t>
      </w:r>
      <w:proofErr w:type="spellEnd"/>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ab/>
      </w:r>
      <w:r w:rsidRPr="00AB6666">
        <w:rPr>
          <w:rFonts w:asciiTheme="majorHAnsi" w:hAnsiTheme="majorHAnsi"/>
        </w:rPr>
        <w:tab/>
      </w:r>
      <w:r w:rsidRPr="00AB6666">
        <w:rPr>
          <w:rFonts w:asciiTheme="majorHAnsi" w:hAnsiTheme="majorHAnsi"/>
        </w:rPr>
        <w:tab/>
        <w:t>_____________________</w:t>
      </w:r>
      <w:r>
        <w:rPr>
          <w:rFonts w:asciiTheme="majorHAnsi" w:hAnsiTheme="majorHAnsi"/>
        </w:rPr>
        <w:t>__________</w:t>
      </w:r>
      <w:r w:rsidRPr="00AB6666">
        <w:rPr>
          <w:rFonts w:asciiTheme="majorHAnsi" w:hAnsiTheme="majorHAnsi"/>
        </w:rPr>
        <w:t xml:space="preserve">_            </w:t>
      </w:r>
      <w:r>
        <w:rPr>
          <w:rFonts w:asciiTheme="majorHAnsi" w:hAnsiTheme="majorHAnsi"/>
        </w:rPr>
        <w:t>__________</w:t>
      </w:r>
      <w:r w:rsidRPr="00AB6666">
        <w:rPr>
          <w:rFonts w:asciiTheme="majorHAnsi" w:hAnsiTheme="majorHAnsi"/>
        </w:rPr>
        <w:t>_________________________</w:t>
      </w:r>
    </w:p>
    <w:p w:rsidR="00EC7D1B" w:rsidRPr="00AB6666" w:rsidRDefault="00EC7D1B" w:rsidP="00EC7D1B">
      <w:pPr>
        <w:spacing w:line="240" w:lineRule="atLeast"/>
        <w:jc w:val="both"/>
        <w:rPr>
          <w:rFonts w:asciiTheme="majorHAnsi" w:hAnsiTheme="majorHAnsi"/>
        </w:rPr>
      </w:pPr>
      <w:r w:rsidRPr="00AB6666">
        <w:rPr>
          <w:rFonts w:asciiTheme="majorHAnsi" w:hAnsiTheme="majorHAnsi"/>
        </w:rPr>
        <w:tab/>
      </w:r>
      <w:r w:rsidRPr="00AB6666">
        <w:rPr>
          <w:rFonts w:asciiTheme="majorHAnsi" w:hAnsiTheme="majorHAnsi"/>
        </w:rPr>
        <w:tab/>
      </w:r>
      <w:r w:rsidRPr="00AB6666">
        <w:rPr>
          <w:rFonts w:asciiTheme="majorHAnsi" w:hAnsiTheme="majorHAnsi"/>
        </w:rPr>
        <w:tab/>
        <w:t xml:space="preserve">            Director</w:t>
      </w:r>
      <w:r w:rsidRPr="00AB6666">
        <w:rPr>
          <w:rFonts w:asciiTheme="majorHAnsi" w:hAnsiTheme="majorHAnsi"/>
        </w:rPr>
        <w:tab/>
      </w:r>
      <w:r w:rsidRPr="00AB6666">
        <w:rPr>
          <w:rFonts w:asciiTheme="majorHAnsi" w:hAnsiTheme="majorHAnsi"/>
        </w:rPr>
        <w:tab/>
      </w:r>
      <w:r w:rsidRPr="00AB6666">
        <w:rPr>
          <w:rFonts w:asciiTheme="majorHAnsi" w:hAnsiTheme="majorHAnsi"/>
        </w:rPr>
        <w:tab/>
      </w:r>
      <w:r w:rsidRPr="00AB6666">
        <w:rPr>
          <w:rFonts w:asciiTheme="majorHAnsi" w:hAnsiTheme="majorHAnsi"/>
        </w:rPr>
        <w:tab/>
      </w:r>
      <w:proofErr w:type="spellStart"/>
      <w:r w:rsidRPr="00AB6666">
        <w:rPr>
          <w:rFonts w:asciiTheme="majorHAnsi" w:hAnsiTheme="majorHAnsi"/>
        </w:rPr>
        <w:t>Director</w:t>
      </w:r>
      <w:proofErr w:type="spellEnd"/>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jc w:val="both"/>
        <w:rPr>
          <w:rFonts w:asciiTheme="majorHAnsi" w:hAnsiTheme="majorHAnsi"/>
          <w:b/>
        </w:rPr>
      </w:pPr>
    </w:p>
    <w:p w:rsidR="00EC7D1B" w:rsidRPr="00AB6666" w:rsidRDefault="00EC7D1B" w:rsidP="00EC7D1B">
      <w:pPr>
        <w:spacing w:line="240" w:lineRule="atLeast"/>
        <w:jc w:val="both"/>
        <w:rPr>
          <w:rFonts w:asciiTheme="majorHAnsi" w:hAnsiTheme="majorHAnsi"/>
        </w:rPr>
      </w:pPr>
      <w:r w:rsidRPr="00AB6666">
        <w:rPr>
          <w:rFonts w:asciiTheme="majorHAnsi" w:hAnsiTheme="majorHAnsi"/>
          <w:b/>
        </w:rPr>
        <w:tab/>
        <w:t>SUBSCRIBED AND SWORN</w:t>
      </w:r>
      <w:r w:rsidRPr="00AB6666">
        <w:rPr>
          <w:rFonts w:asciiTheme="majorHAnsi" w:hAnsiTheme="majorHAnsi"/>
        </w:rPr>
        <w:t xml:space="preserve"> to before me this _____ day of _________ 200__ affiant(s</w:t>
      </w:r>
      <w:proofErr w:type="gramStart"/>
      <w:r w:rsidRPr="00AB6666">
        <w:rPr>
          <w:rFonts w:asciiTheme="majorHAnsi" w:hAnsiTheme="majorHAnsi"/>
        </w:rPr>
        <w:t>) exhibiting</w:t>
      </w:r>
      <w:proofErr w:type="gramEnd"/>
      <w:r w:rsidRPr="00AB6666">
        <w:rPr>
          <w:rFonts w:asciiTheme="majorHAnsi" w:hAnsiTheme="majorHAnsi"/>
        </w:rPr>
        <w:t xml:space="preserve"> to me his/their Residence Certificates, as follows:</w:t>
      </w: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jc w:val="both"/>
        <w:rPr>
          <w:rFonts w:asciiTheme="majorHAnsi" w:hAnsiTheme="majorHAnsi"/>
        </w:rPr>
      </w:pPr>
    </w:p>
    <w:tbl>
      <w:tblPr>
        <w:tblStyle w:val="TableGrid"/>
        <w:tblW w:w="0" w:type="auto"/>
        <w:tblLook w:val="04A0" w:firstRow="1" w:lastRow="0" w:firstColumn="1" w:lastColumn="0" w:noHBand="0" w:noVBand="1"/>
      </w:tblPr>
      <w:tblGrid>
        <w:gridCol w:w="2394"/>
        <w:gridCol w:w="2394"/>
        <w:gridCol w:w="2394"/>
        <w:gridCol w:w="2394"/>
      </w:tblGrid>
      <w:tr w:rsidR="00EC7D1B" w:rsidTr="004E3BB1">
        <w:tc>
          <w:tcPr>
            <w:tcW w:w="2394" w:type="dxa"/>
          </w:tcPr>
          <w:p w:rsidR="00EC7D1B" w:rsidRDefault="00EC7D1B" w:rsidP="004E3BB1">
            <w:pPr>
              <w:spacing w:line="240" w:lineRule="atLeast"/>
              <w:jc w:val="both"/>
              <w:rPr>
                <w:rFonts w:asciiTheme="majorHAnsi" w:hAnsiTheme="majorHAnsi"/>
              </w:rPr>
            </w:pPr>
            <w:r w:rsidRPr="00AB6666">
              <w:rPr>
                <w:rFonts w:asciiTheme="majorHAnsi" w:hAnsiTheme="majorHAnsi"/>
                <w:b/>
              </w:rPr>
              <w:t>NAMES</w:t>
            </w:r>
          </w:p>
        </w:tc>
        <w:tc>
          <w:tcPr>
            <w:tcW w:w="2394" w:type="dxa"/>
          </w:tcPr>
          <w:p w:rsidR="00EC7D1B" w:rsidRDefault="00EC7D1B" w:rsidP="004E3BB1">
            <w:pPr>
              <w:spacing w:line="240" w:lineRule="atLeast"/>
              <w:jc w:val="both"/>
              <w:rPr>
                <w:rFonts w:asciiTheme="majorHAnsi" w:hAnsiTheme="majorHAnsi"/>
              </w:rPr>
            </w:pPr>
            <w:r w:rsidRPr="00AB6666">
              <w:rPr>
                <w:rFonts w:asciiTheme="majorHAnsi" w:hAnsiTheme="majorHAnsi"/>
                <w:b/>
              </w:rPr>
              <w:t>GOVT ISSUED ID and NO.</w:t>
            </w:r>
          </w:p>
        </w:tc>
        <w:tc>
          <w:tcPr>
            <w:tcW w:w="2394" w:type="dxa"/>
          </w:tcPr>
          <w:p w:rsidR="00EC7D1B" w:rsidRDefault="00EC7D1B" w:rsidP="004E3BB1">
            <w:pPr>
              <w:spacing w:line="240" w:lineRule="atLeast"/>
              <w:jc w:val="both"/>
              <w:rPr>
                <w:rFonts w:asciiTheme="majorHAnsi" w:hAnsiTheme="majorHAnsi"/>
              </w:rPr>
            </w:pPr>
            <w:r w:rsidRPr="00AB6666">
              <w:rPr>
                <w:rFonts w:asciiTheme="majorHAnsi" w:hAnsiTheme="majorHAnsi"/>
                <w:b/>
              </w:rPr>
              <w:t>DATE OF ISSUE</w:t>
            </w:r>
          </w:p>
        </w:tc>
        <w:tc>
          <w:tcPr>
            <w:tcW w:w="2394" w:type="dxa"/>
          </w:tcPr>
          <w:p w:rsidR="00EC7D1B" w:rsidRDefault="00EC7D1B" w:rsidP="004E3BB1">
            <w:pPr>
              <w:spacing w:line="240" w:lineRule="atLeast"/>
              <w:jc w:val="both"/>
              <w:rPr>
                <w:rFonts w:asciiTheme="majorHAnsi" w:hAnsiTheme="majorHAnsi"/>
              </w:rPr>
            </w:pPr>
            <w:r w:rsidRPr="00AB6666">
              <w:rPr>
                <w:rFonts w:asciiTheme="majorHAnsi" w:hAnsiTheme="majorHAnsi"/>
                <w:b/>
              </w:rPr>
              <w:t>PLACE OF ISSUE</w:t>
            </w:r>
          </w:p>
        </w:tc>
      </w:tr>
      <w:tr w:rsidR="00EC7D1B" w:rsidTr="004E3BB1">
        <w:tc>
          <w:tcPr>
            <w:tcW w:w="2394" w:type="dxa"/>
          </w:tcPr>
          <w:p w:rsidR="00EC7D1B" w:rsidRPr="00AB6666" w:rsidRDefault="00EC7D1B" w:rsidP="004E3BB1">
            <w:pPr>
              <w:spacing w:line="240" w:lineRule="atLeast"/>
              <w:jc w:val="both"/>
              <w:rPr>
                <w:rFonts w:asciiTheme="majorHAnsi" w:hAnsiTheme="majorHAnsi"/>
                <w:b/>
              </w:rPr>
            </w:pPr>
          </w:p>
        </w:tc>
        <w:tc>
          <w:tcPr>
            <w:tcW w:w="2394" w:type="dxa"/>
          </w:tcPr>
          <w:p w:rsidR="00EC7D1B" w:rsidRPr="00AB6666" w:rsidRDefault="00EC7D1B" w:rsidP="004E3BB1">
            <w:pPr>
              <w:spacing w:line="240" w:lineRule="atLeast"/>
              <w:jc w:val="both"/>
              <w:rPr>
                <w:rFonts w:asciiTheme="majorHAnsi" w:hAnsiTheme="majorHAnsi"/>
                <w:b/>
              </w:rPr>
            </w:pPr>
          </w:p>
        </w:tc>
        <w:tc>
          <w:tcPr>
            <w:tcW w:w="2394" w:type="dxa"/>
          </w:tcPr>
          <w:p w:rsidR="00EC7D1B" w:rsidRPr="00AB6666" w:rsidRDefault="00EC7D1B" w:rsidP="004E3BB1">
            <w:pPr>
              <w:spacing w:line="240" w:lineRule="atLeast"/>
              <w:jc w:val="both"/>
              <w:rPr>
                <w:rFonts w:asciiTheme="majorHAnsi" w:hAnsiTheme="majorHAnsi"/>
                <w:b/>
              </w:rPr>
            </w:pPr>
          </w:p>
        </w:tc>
        <w:tc>
          <w:tcPr>
            <w:tcW w:w="2394" w:type="dxa"/>
          </w:tcPr>
          <w:p w:rsidR="00EC7D1B" w:rsidRPr="00AB6666" w:rsidRDefault="00EC7D1B" w:rsidP="004E3BB1">
            <w:pPr>
              <w:spacing w:line="240" w:lineRule="atLeast"/>
              <w:jc w:val="both"/>
              <w:rPr>
                <w:rFonts w:asciiTheme="majorHAnsi" w:hAnsiTheme="majorHAnsi"/>
                <w:b/>
              </w:rPr>
            </w:pPr>
          </w:p>
        </w:tc>
      </w:tr>
      <w:tr w:rsidR="00EC7D1B" w:rsidTr="004E3BB1">
        <w:tc>
          <w:tcPr>
            <w:tcW w:w="2394" w:type="dxa"/>
          </w:tcPr>
          <w:p w:rsidR="00EC7D1B" w:rsidRPr="00AB6666" w:rsidRDefault="00EC7D1B" w:rsidP="004E3BB1">
            <w:pPr>
              <w:spacing w:line="240" w:lineRule="atLeast"/>
              <w:jc w:val="both"/>
              <w:rPr>
                <w:rFonts w:asciiTheme="majorHAnsi" w:hAnsiTheme="majorHAnsi"/>
                <w:b/>
              </w:rPr>
            </w:pPr>
          </w:p>
        </w:tc>
        <w:tc>
          <w:tcPr>
            <w:tcW w:w="2394" w:type="dxa"/>
          </w:tcPr>
          <w:p w:rsidR="00EC7D1B" w:rsidRPr="00AB6666" w:rsidRDefault="00EC7D1B" w:rsidP="004E3BB1">
            <w:pPr>
              <w:spacing w:line="240" w:lineRule="atLeast"/>
              <w:jc w:val="both"/>
              <w:rPr>
                <w:rFonts w:asciiTheme="majorHAnsi" w:hAnsiTheme="majorHAnsi"/>
                <w:b/>
              </w:rPr>
            </w:pPr>
          </w:p>
        </w:tc>
        <w:tc>
          <w:tcPr>
            <w:tcW w:w="2394" w:type="dxa"/>
          </w:tcPr>
          <w:p w:rsidR="00EC7D1B" w:rsidRPr="00AB6666" w:rsidRDefault="00EC7D1B" w:rsidP="004E3BB1">
            <w:pPr>
              <w:spacing w:line="240" w:lineRule="atLeast"/>
              <w:jc w:val="both"/>
              <w:rPr>
                <w:rFonts w:asciiTheme="majorHAnsi" w:hAnsiTheme="majorHAnsi"/>
                <w:b/>
              </w:rPr>
            </w:pPr>
          </w:p>
        </w:tc>
        <w:tc>
          <w:tcPr>
            <w:tcW w:w="2394" w:type="dxa"/>
          </w:tcPr>
          <w:p w:rsidR="00EC7D1B" w:rsidRPr="00AB6666" w:rsidRDefault="00EC7D1B" w:rsidP="004E3BB1">
            <w:pPr>
              <w:spacing w:line="240" w:lineRule="atLeast"/>
              <w:jc w:val="both"/>
              <w:rPr>
                <w:rFonts w:asciiTheme="majorHAnsi" w:hAnsiTheme="majorHAnsi"/>
                <w:b/>
              </w:rPr>
            </w:pPr>
          </w:p>
        </w:tc>
      </w:tr>
      <w:tr w:rsidR="00EC7D1B" w:rsidTr="004E3BB1">
        <w:tc>
          <w:tcPr>
            <w:tcW w:w="2394" w:type="dxa"/>
          </w:tcPr>
          <w:p w:rsidR="00EC7D1B" w:rsidRPr="00AB6666" w:rsidRDefault="00EC7D1B" w:rsidP="004E3BB1">
            <w:pPr>
              <w:spacing w:line="240" w:lineRule="atLeast"/>
              <w:jc w:val="both"/>
              <w:rPr>
                <w:rFonts w:asciiTheme="majorHAnsi" w:hAnsiTheme="majorHAnsi"/>
                <w:b/>
              </w:rPr>
            </w:pPr>
          </w:p>
        </w:tc>
        <w:tc>
          <w:tcPr>
            <w:tcW w:w="2394" w:type="dxa"/>
          </w:tcPr>
          <w:p w:rsidR="00EC7D1B" w:rsidRPr="00AB6666" w:rsidRDefault="00EC7D1B" w:rsidP="004E3BB1">
            <w:pPr>
              <w:spacing w:line="240" w:lineRule="atLeast"/>
              <w:jc w:val="both"/>
              <w:rPr>
                <w:rFonts w:asciiTheme="majorHAnsi" w:hAnsiTheme="majorHAnsi"/>
                <w:b/>
              </w:rPr>
            </w:pPr>
          </w:p>
        </w:tc>
        <w:tc>
          <w:tcPr>
            <w:tcW w:w="2394" w:type="dxa"/>
          </w:tcPr>
          <w:p w:rsidR="00EC7D1B" w:rsidRPr="00AB6666" w:rsidRDefault="00EC7D1B" w:rsidP="004E3BB1">
            <w:pPr>
              <w:spacing w:line="240" w:lineRule="atLeast"/>
              <w:jc w:val="both"/>
              <w:rPr>
                <w:rFonts w:asciiTheme="majorHAnsi" w:hAnsiTheme="majorHAnsi"/>
                <w:b/>
              </w:rPr>
            </w:pPr>
          </w:p>
        </w:tc>
        <w:tc>
          <w:tcPr>
            <w:tcW w:w="2394" w:type="dxa"/>
          </w:tcPr>
          <w:p w:rsidR="00EC7D1B" w:rsidRPr="00AB6666" w:rsidRDefault="00EC7D1B" w:rsidP="004E3BB1">
            <w:pPr>
              <w:spacing w:line="240" w:lineRule="atLeast"/>
              <w:jc w:val="both"/>
              <w:rPr>
                <w:rFonts w:asciiTheme="majorHAnsi" w:hAnsiTheme="majorHAnsi"/>
                <w:b/>
              </w:rPr>
            </w:pPr>
          </w:p>
        </w:tc>
      </w:tr>
      <w:tr w:rsidR="00EC7D1B" w:rsidTr="004E3BB1">
        <w:tc>
          <w:tcPr>
            <w:tcW w:w="2394" w:type="dxa"/>
          </w:tcPr>
          <w:p w:rsidR="00EC7D1B" w:rsidRPr="00AB6666" w:rsidRDefault="00EC7D1B" w:rsidP="004E3BB1">
            <w:pPr>
              <w:spacing w:line="240" w:lineRule="atLeast"/>
              <w:jc w:val="both"/>
              <w:rPr>
                <w:rFonts w:asciiTheme="majorHAnsi" w:hAnsiTheme="majorHAnsi"/>
                <w:b/>
              </w:rPr>
            </w:pPr>
          </w:p>
        </w:tc>
        <w:tc>
          <w:tcPr>
            <w:tcW w:w="2394" w:type="dxa"/>
          </w:tcPr>
          <w:p w:rsidR="00EC7D1B" w:rsidRPr="00AB6666" w:rsidRDefault="00EC7D1B" w:rsidP="004E3BB1">
            <w:pPr>
              <w:spacing w:line="240" w:lineRule="atLeast"/>
              <w:jc w:val="both"/>
              <w:rPr>
                <w:rFonts w:asciiTheme="majorHAnsi" w:hAnsiTheme="majorHAnsi"/>
                <w:b/>
              </w:rPr>
            </w:pPr>
          </w:p>
        </w:tc>
        <w:tc>
          <w:tcPr>
            <w:tcW w:w="2394" w:type="dxa"/>
          </w:tcPr>
          <w:p w:rsidR="00EC7D1B" w:rsidRPr="00AB6666" w:rsidRDefault="00EC7D1B" w:rsidP="004E3BB1">
            <w:pPr>
              <w:spacing w:line="240" w:lineRule="atLeast"/>
              <w:jc w:val="both"/>
              <w:rPr>
                <w:rFonts w:asciiTheme="majorHAnsi" w:hAnsiTheme="majorHAnsi"/>
                <w:b/>
              </w:rPr>
            </w:pPr>
          </w:p>
        </w:tc>
        <w:tc>
          <w:tcPr>
            <w:tcW w:w="2394" w:type="dxa"/>
          </w:tcPr>
          <w:p w:rsidR="00EC7D1B" w:rsidRPr="00AB6666" w:rsidRDefault="00EC7D1B" w:rsidP="004E3BB1">
            <w:pPr>
              <w:spacing w:line="240" w:lineRule="atLeast"/>
              <w:jc w:val="both"/>
              <w:rPr>
                <w:rFonts w:asciiTheme="majorHAnsi" w:hAnsiTheme="majorHAnsi"/>
                <w:b/>
              </w:rPr>
            </w:pPr>
          </w:p>
        </w:tc>
      </w:tr>
      <w:tr w:rsidR="00EC7D1B" w:rsidTr="004E3BB1">
        <w:tc>
          <w:tcPr>
            <w:tcW w:w="2394" w:type="dxa"/>
          </w:tcPr>
          <w:p w:rsidR="00EC7D1B" w:rsidRPr="00AB6666" w:rsidRDefault="00EC7D1B" w:rsidP="004E3BB1">
            <w:pPr>
              <w:spacing w:line="240" w:lineRule="atLeast"/>
              <w:jc w:val="both"/>
              <w:rPr>
                <w:rFonts w:asciiTheme="majorHAnsi" w:hAnsiTheme="majorHAnsi"/>
                <w:b/>
              </w:rPr>
            </w:pPr>
          </w:p>
        </w:tc>
        <w:tc>
          <w:tcPr>
            <w:tcW w:w="2394" w:type="dxa"/>
          </w:tcPr>
          <w:p w:rsidR="00EC7D1B" w:rsidRPr="00AB6666" w:rsidRDefault="00EC7D1B" w:rsidP="004E3BB1">
            <w:pPr>
              <w:spacing w:line="240" w:lineRule="atLeast"/>
              <w:jc w:val="both"/>
              <w:rPr>
                <w:rFonts w:asciiTheme="majorHAnsi" w:hAnsiTheme="majorHAnsi"/>
                <w:b/>
              </w:rPr>
            </w:pPr>
          </w:p>
        </w:tc>
        <w:tc>
          <w:tcPr>
            <w:tcW w:w="2394" w:type="dxa"/>
          </w:tcPr>
          <w:p w:rsidR="00EC7D1B" w:rsidRPr="00AB6666" w:rsidRDefault="00EC7D1B" w:rsidP="004E3BB1">
            <w:pPr>
              <w:spacing w:line="240" w:lineRule="atLeast"/>
              <w:jc w:val="both"/>
              <w:rPr>
                <w:rFonts w:asciiTheme="majorHAnsi" w:hAnsiTheme="majorHAnsi"/>
                <w:b/>
              </w:rPr>
            </w:pPr>
          </w:p>
        </w:tc>
        <w:tc>
          <w:tcPr>
            <w:tcW w:w="2394" w:type="dxa"/>
          </w:tcPr>
          <w:p w:rsidR="00EC7D1B" w:rsidRPr="00AB6666" w:rsidRDefault="00EC7D1B" w:rsidP="004E3BB1">
            <w:pPr>
              <w:spacing w:line="240" w:lineRule="atLeast"/>
              <w:jc w:val="both"/>
              <w:rPr>
                <w:rFonts w:asciiTheme="majorHAnsi" w:hAnsiTheme="majorHAnsi"/>
                <w:b/>
              </w:rPr>
            </w:pPr>
          </w:p>
        </w:tc>
      </w:tr>
    </w:tbl>
    <w:p w:rsidR="00EC7D1B" w:rsidRPr="00AB6666" w:rsidRDefault="00EC7D1B" w:rsidP="00EC7D1B">
      <w:pPr>
        <w:spacing w:line="240" w:lineRule="atLeast"/>
        <w:jc w:val="both"/>
        <w:rPr>
          <w:rFonts w:asciiTheme="majorHAnsi" w:hAnsiTheme="majorHAnsi"/>
        </w:rPr>
      </w:pPr>
    </w:p>
    <w:p w:rsidR="00EC7D1B" w:rsidRDefault="00EC7D1B" w:rsidP="00EC7D1B">
      <w:pPr>
        <w:spacing w:line="240" w:lineRule="atLeast"/>
        <w:jc w:val="both"/>
        <w:rPr>
          <w:rFonts w:asciiTheme="majorHAnsi" w:hAnsiTheme="majorHAnsi"/>
        </w:rPr>
      </w:pPr>
    </w:p>
    <w:p w:rsidR="00EC7D1B" w:rsidRPr="00AB6666" w:rsidRDefault="00EC7D1B" w:rsidP="00EC7D1B">
      <w:pPr>
        <w:spacing w:line="240" w:lineRule="atLeast"/>
        <w:jc w:val="both"/>
        <w:rPr>
          <w:rFonts w:asciiTheme="majorHAnsi" w:hAnsiTheme="majorHAnsi"/>
        </w:rPr>
      </w:pPr>
    </w:p>
    <w:p w:rsidR="00EC7D1B" w:rsidRPr="00AB6666" w:rsidRDefault="00EC7D1B" w:rsidP="00EC7D1B">
      <w:pPr>
        <w:spacing w:line="240" w:lineRule="atLeast"/>
        <w:jc w:val="both"/>
        <w:rPr>
          <w:rFonts w:asciiTheme="majorHAnsi" w:hAnsiTheme="majorHAnsi"/>
          <w:b/>
        </w:rPr>
      </w:pPr>
      <w:r w:rsidRPr="00AB6666">
        <w:rPr>
          <w:rFonts w:asciiTheme="majorHAnsi" w:hAnsiTheme="majorHAnsi"/>
          <w:b/>
        </w:rPr>
        <w:tab/>
      </w:r>
      <w:r w:rsidRPr="00AB6666">
        <w:rPr>
          <w:rFonts w:asciiTheme="majorHAnsi" w:hAnsiTheme="majorHAnsi"/>
          <w:b/>
        </w:rPr>
        <w:tab/>
      </w:r>
      <w:r w:rsidRPr="00AB6666">
        <w:rPr>
          <w:rFonts w:asciiTheme="majorHAnsi" w:hAnsiTheme="majorHAnsi"/>
          <w:b/>
        </w:rPr>
        <w:tab/>
      </w:r>
      <w:r w:rsidRPr="00AB6666">
        <w:rPr>
          <w:rFonts w:asciiTheme="majorHAnsi" w:hAnsiTheme="majorHAnsi"/>
          <w:b/>
        </w:rPr>
        <w:tab/>
      </w:r>
      <w:r w:rsidRPr="00AB6666">
        <w:rPr>
          <w:rFonts w:asciiTheme="majorHAnsi" w:hAnsiTheme="majorHAnsi"/>
          <w:b/>
        </w:rPr>
        <w:tab/>
      </w:r>
      <w:r w:rsidRPr="00AB6666">
        <w:rPr>
          <w:rFonts w:asciiTheme="majorHAnsi" w:hAnsiTheme="majorHAnsi"/>
          <w:b/>
        </w:rPr>
        <w:tab/>
        <w:t>______________________</w:t>
      </w:r>
    </w:p>
    <w:p w:rsidR="00EC7D1B" w:rsidRPr="00AB6666" w:rsidRDefault="00EC7D1B" w:rsidP="00EC7D1B">
      <w:pPr>
        <w:spacing w:line="240" w:lineRule="atLeast"/>
        <w:jc w:val="both"/>
        <w:rPr>
          <w:rFonts w:asciiTheme="majorHAnsi" w:hAnsiTheme="majorHAnsi"/>
        </w:rPr>
      </w:pPr>
      <w:r w:rsidRPr="00AB6666">
        <w:rPr>
          <w:rFonts w:asciiTheme="majorHAnsi" w:hAnsiTheme="majorHAnsi"/>
          <w:b/>
        </w:rPr>
        <w:tab/>
        <w:t xml:space="preserve">                                                                                 Notary Public</w:t>
      </w:r>
    </w:p>
    <w:p w:rsidR="00EC7D1B" w:rsidRDefault="00EC7D1B" w:rsidP="00EC7D1B"/>
    <w:sectPr w:rsidR="00EC7D1B" w:rsidSect="00D1566F">
      <w:pgSz w:w="12240" w:h="15840"/>
      <w:pgMar w:top="1440" w:right="1440" w:bottom="1440" w:left="1440" w:header="720" w:footer="97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BB1" w:rsidRDefault="004E3BB1" w:rsidP="00EC7D1B">
      <w:r>
        <w:separator/>
      </w:r>
    </w:p>
  </w:endnote>
  <w:endnote w:type="continuationSeparator" w:id="0">
    <w:p w:rsidR="004E3BB1" w:rsidRDefault="004E3BB1" w:rsidP="00EC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977772"/>
      <w:docPartObj>
        <w:docPartGallery w:val="Page Numbers (Bottom of Page)"/>
        <w:docPartUnique/>
      </w:docPartObj>
    </w:sdtPr>
    <w:sdtEndPr>
      <w:rPr>
        <w:rFonts w:asciiTheme="majorHAnsi" w:hAnsiTheme="majorHAnsi"/>
      </w:rPr>
    </w:sdtEndPr>
    <w:sdtContent>
      <w:sdt>
        <w:sdtPr>
          <w:rPr>
            <w:rFonts w:asciiTheme="majorHAnsi" w:hAnsiTheme="majorHAnsi"/>
          </w:rPr>
          <w:id w:val="860082579"/>
          <w:docPartObj>
            <w:docPartGallery w:val="Page Numbers (Top of Page)"/>
            <w:docPartUnique/>
          </w:docPartObj>
        </w:sdtPr>
        <w:sdtEndPr/>
        <w:sdtContent>
          <w:p w:rsidR="004E3BB1" w:rsidRDefault="004E3BB1">
            <w:pPr>
              <w:pStyle w:val="Footer"/>
              <w:jc w:val="right"/>
              <w:rPr>
                <w:rFonts w:asciiTheme="majorHAnsi" w:hAnsiTheme="majorHAnsi"/>
              </w:rPr>
            </w:pPr>
          </w:p>
          <w:p w:rsidR="004E3BB1" w:rsidRDefault="004E3BB1" w:rsidP="00EC7D1B">
            <w:pPr>
              <w:pStyle w:val="Footer"/>
            </w:pPr>
            <w:r>
              <w:rPr>
                <w:rFonts w:asciiTheme="majorHAnsi" w:hAnsiTheme="majorHAnsi"/>
                <w:sz w:val="16"/>
                <w:szCs w:val="16"/>
              </w:rPr>
              <w:t xml:space="preserve">SEC Form12-1 ETF * Updated Jan </w:t>
            </w:r>
            <w:r w:rsidRPr="00461F60">
              <w:rPr>
                <w:rFonts w:asciiTheme="majorHAnsi" w:hAnsiTheme="majorHAnsi"/>
                <w:sz w:val="16"/>
                <w:szCs w:val="16"/>
              </w:rPr>
              <w:t>201</w:t>
            </w:r>
            <w:r>
              <w:rPr>
                <w:rFonts w:asciiTheme="majorHAnsi" w:hAnsiTheme="majorHAnsi"/>
                <w:sz w:val="16"/>
                <w:szCs w:val="16"/>
              </w:rPr>
              <w:t>3</w:t>
            </w:r>
          </w:p>
          <w:p w:rsidR="004E3BB1" w:rsidRDefault="004E3BB1" w:rsidP="00EC7D1B">
            <w:pPr>
              <w:pStyle w:val="Footer"/>
              <w:rPr>
                <w:rFonts w:asciiTheme="majorHAnsi" w:hAnsiTheme="majorHAnsi"/>
              </w:rPr>
            </w:pPr>
          </w:p>
          <w:p w:rsidR="004E3BB1" w:rsidRPr="00EC7D1B" w:rsidRDefault="004E3BB1">
            <w:pPr>
              <w:pStyle w:val="Footer"/>
              <w:jc w:val="right"/>
              <w:rPr>
                <w:rFonts w:asciiTheme="majorHAnsi" w:hAnsiTheme="majorHAnsi"/>
              </w:rPr>
            </w:pPr>
            <w:r w:rsidRPr="00D1566F">
              <w:rPr>
                <w:rFonts w:asciiTheme="majorHAnsi" w:hAnsiTheme="majorHAnsi"/>
                <w:sz w:val="18"/>
                <w:szCs w:val="18"/>
              </w:rPr>
              <w:t xml:space="preserve">Page </w:t>
            </w:r>
            <w:r w:rsidRPr="00D1566F">
              <w:rPr>
                <w:rFonts w:asciiTheme="majorHAnsi" w:hAnsiTheme="majorHAnsi"/>
                <w:b/>
                <w:bCs/>
                <w:sz w:val="18"/>
                <w:szCs w:val="18"/>
              </w:rPr>
              <w:fldChar w:fldCharType="begin"/>
            </w:r>
            <w:r w:rsidRPr="00D1566F">
              <w:rPr>
                <w:rFonts w:asciiTheme="majorHAnsi" w:hAnsiTheme="majorHAnsi"/>
                <w:b/>
                <w:bCs/>
                <w:sz w:val="18"/>
                <w:szCs w:val="18"/>
              </w:rPr>
              <w:instrText xml:space="preserve"> PAGE </w:instrText>
            </w:r>
            <w:r w:rsidRPr="00D1566F">
              <w:rPr>
                <w:rFonts w:asciiTheme="majorHAnsi" w:hAnsiTheme="majorHAnsi"/>
                <w:b/>
                <w:bCs/>
                <w:sz w:val="18"/>
                <w:szCs w:val="18"/>
              </w:rPr>
              <w:fldChar w:fldCharType="separate"/>
            </w:r>
            <w:r w:rsidR="00244B40">
              <w:rPr>
                <w:rFonts w:asciiTheme="majorHAnsi" w:hAnsiTheme="majorHAnsi"/>
                <w:b/>
                <w:bCs/>
                <w:noProof/>
                <w:sz w:val="18"/>
                <w:szCs w:val="18"/>
              </w:rPr>
              <w:t>7</w:t>
            </w:r>
            <w:r w:rsidRPr="00D1566F">
              <w:rPr>
                <w:rFonts w:asciiTheme="majorHAnsi" w:hAnsiTheme="majorHAnsi"/>
                <w:b/>
                <w:bCs/>
                <w:sz w:val="18"/>
                <w:szCs w:val="18"/>
              </w:rPr>
              <w:fldChar w:fldCharType="end"/>
            </w:r>
            <w:r w:rsidRPr="00D1566F">
              <w:rPr>
                <w:rFonts w:asciiTheme="majorHAnsi" w:hAnsiTheme="majorHAnsi"/>
                <w:sz w:val="18"/>
                <w:szCs w:val="18"/>
              </w:rPr>
              <w:t xml:space="preserve"> of </w:t>
            </w:r>
            <w:r w:rsidRPr="00D1566F">
              <w:rPr>
                <w:rFonts w:asciiTheme="majorHAnsi" w:hAnsiTheme="majorHAnsi"/>
                <w:b/>
                <w:bCs/>
                <w:sz w:val="18"/>
                <w:szCs w:val="18"/>
              </w:rPr>
              <w:fldChar w:fldCharType="begin"/>
            </w:r>
            <w:r w:rsidRPr="00D1566F">
              <w:rPr>
                <w:rFonts w:asciiTheme="majorHAnsi" w:hAnsiTheme="majorHAnsi"/>
                <w:b/>
                <w:bCs/>
                <w:sz w:val="18"/>
                <w:szCs w:val="18"/>
              </w:rPr>
              <w:instrText xml:space="preserve"> NUMPAGES  </w:instrText>
            </w:r>
            <w:r w:rsidRPr="00D1566F">
              <w:rPr>
                <w:rFonts w:asciiTheme="majorHAnsi" w:hAnsiTheme="majorHAnsi"/>
                <w:b/>
                <w:bCs/>
                <w:sz w:val="18"/>
                <w:szCs w:val="18"/>
              </w:rPr>
              <w:fldChar w:fldCharType="separate"/>
            </w:r>
            <w:r w:rsidR="00244B40">
              <w:rPr>
                <w:rFonts w:asciiTheme="majorHAnsi" w:hAnsiTheme="majorHAnsi"/>
                <w:b/>
                <w:bCs/>
                <w:noProof/>
                <w:sz w:val="18"/>
                <w:szCs w:val="18"/>
              </w:rPr>
              <w:t>7</w:t>
            </w:r>
            <w:r w:rsidRPr="00D1566F">
              <w:rPr>
                <w:rFonts w:asciiTheme="majorHAnsi" w:hAnsiTheme="majorHAnsi"/>
                <w:b/>
                <w:bCs/>
                <w:sz w:val="18"/>
                <w:szCs w:val="18"/>
              </w:rPr>
              <w:fldChar w:fldCharType="end"/>
            </w:r>
          </w:p>
        </w:sdtContent>
      </w:sdt>
    </w:sdtContent>
  </w:sdt>
  <w:p w:rsidR="004E3BB1" w:rsidRDefault="004E3BB1" w:rsidP="00EC7D1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B1" w:rsidRDefault="004E3BB1">
    <w:pPr>
      <w:pStyle w:val="Footer"/>
      <w:rPr>
        <w:rFonts w:asciiTheme="majorHAnsi" w:hAnsiTheme="majorHAnsi"/>
        <w:sz w:val="16"/>
        <w:szCs w:val="16"/>
      </w:rPr>
    </w:pPr>
    <w:r>
      <w:rPr>
        <w:rFonts w:asciiTheme="majorHAnsi" w:hAnsiTheme="majorHAnsi"/>
        <w:sz w:val="16"/>
        <w:szCs w:val="16"/>
      </w:rPr>
      <w:t xml:space="preserve">SEC Form12-1 ETF * Updated </w:t>
    </w:r>
    <w:r w:rsidR="00ED212F">
      <w:rPr>
        <w:rFonts w:asciiTheme="majorHAnsi" w:hAnsiTheme="majorHAnsi"/>
        <w:sz w:val="16"/>
        <w:szCs w:val="16"/>
      </w:rPr>
      <w:t>22Sep</w:t>
    </w:r>
    <w:r w:rsidR="00ED212F" w:rsidRPr="00461F60">
      <w:rPr>
        <w:rFonts w:asciiTheme="majorHAnsi" w:hAnsiTheme="majorHAnsi"/>
        <w:sz w:val="16"/>
        <w:szCs w:val="16"/>
      </w:rPr>
      <w:t>2017</w:t>
    </w:r>
  </w:p>
  <w:p w:rsidR="004E3BB1" w:rsidRPr="00D1566F" w:rsidRDefault="004E3BB1" w:rsidP="00D1566F">
    <w:pPr>
      <w:pStyle w:val="Footer"/>
      <w:jc w:val="right"/>
      <w:rPr>
        <w:sz w:val="18"/>
        <w:szCs w:val="18"/>
      </w:rPr>
    </w:pPr>
    <w:r w:rsidRPr="00D1566F">
      <w:rPr>
        <w:rFonts w:asciiTheme="majorHAnsi" w:hAnsiTheme="majorHAnsi"/>
        <w:sz w:val="18"/>
        <w:szCs w:val="18"/>
      </w:rPr>
      <w:t xml:space="preserve">Page </w:t>
    </w:r>
    <w:r w:rsidRPr="00D1566F">
      <w:rPr>
        <w:rFonts w:asciiTheme="majorHAnsi" w:hAnsiTheme="majorHAnsi"/>
        <w:b/>
        <w:bCs/>
        <w:sz w:val="18"/>
        <w:szCs w:val="18"/>
      </w:rPr>
      <w:fldChar w:fldCharType="begin"/>
    </w:r>
    <w:r w:rsidRPr="00D1566F">
      <w:rPr>
        <w:rFonts w:asciiTheme="majorHAnsi" w:hAnsiTheme="majorHAnsi"/>
        <w:b/>
        <w:bCs/>
        <w:sz w:val="18"/>
        <w:szCs w:val="18"/>
      </w:rPr>
      <w:instrText xml:space="preserve"> PAGE </w:instrText>
    </w:r>
    <w:r w:rsidRPr="00D1566F">
      <w:rPr>
        <w:rFonts w:asciiTheme="majorHAnsi" w:hAnsiTheme="majorHAnsi"/>
        <w:b/>
        <w:bCs/>
        <w:sz w:val="18"/>
        <w:szCs w:val="18"/>
      </w:rPr>
      <w:fldChar w:fldCharType="separate"/>
    </w:r>
    <w:r w:rsidR="00244B40">
      <w:rPr>
        <w:rFonts w:asciiTheme="majorHAnsi" w:hAnsiTheme="majorHAnsi"/>
        <w:b/>
        <w:bCs/>
        <w:noProof/>
        <w:sz w:val="18"/>
        <w:szCs w:val="18"/>
      </w:rPr>
      <w:t>1</w:t>
    </w:r>
    <w:r w:rsidRPr="00D1566F">
      <w:rPr>
        <w:rFonts w:asciiTheme="majorHAnsi" w:hAnsiTheme="majorHAnsi"/>
        <w:b/>
        <w:bCs/>
        <w:sz w:val="18"/>
        <w:szCs w:val="18"/>
      </w:rPr>
      <w:fldChar w:fldCharType="end"/>
    </w:r>
    <w:r w:rsidRPr="00D1566F">
      <w:rPr>
        <w:rFonts w:asciiTheme="majorHAnsi" w:hAnsiTheme="majorHAnsi"/>
        <w:sz w:val="18"/>
        <w:szCs w:val="18"/>
      </w:rPr>
      <w:t xml:space="preserve"> of </w:t>
    </w:r>
    <w:r w:rsidRPr="00D1566F">
      <w:rPr>
        <w:rFonts w:asciiTheme="majorHAnsi" w:hAnsiTheme="majorHAnsi"/>
        <w:b/>
        <w:bCs/>
        <w:sz w:val="18"/>
        <w:szCs w:val="18"/>
      </w:rPr>
      <w:fldChar w:fldCharType="begin"/>
    </w:r>
    <w:r w:rsidRPr="00D1566F">
      <w:rPr>
        <w:rFonts w:asciiTheme="majorHAnsi" w:hAnsiTheme="majorHAnsi"/>
        <w:b/>
        <w:bCs/>
        <w:sz w:val="18"/>
        <w:szCs w:val="18"/>
      </w:rPr>
      <w:instrText xml:space="preserve"> NUMPAGES  </w:instrText>
    </w:r>
    <w:r w:rsidRPr="00D1566F">
      <w:rPr>
        <w:rFonts w:asciiTheme="majorHAnsi" w:hAnsiTheme="majorHAnsi"/>
        <w:b/>
        <w:bCs/>
        <w:sz w:val="18"/>
        <w:szCs w:val="18"/>
      </w:rPr>
      <w:fldChar w:fldCharType="separate"/>
    </w:r>
    <w:r w:rsidR="00244B40">
      <w:rPr>
        <w:rFonts w:asciiTheme="majorHAnsi" w:hAnsiTheme="majorHAnsi"/>
        <w:b/>
        <w:bCs/>
        <w:noProof/>
        <w:sz w:val="18"/>
        <w:szCs w:val="18"/>
      </w:rPr>
      <w:t>7</w:t>
    </w:r>
    <w:r w:rsidRPr="00D1566F">
      <w:rPr>
        <w:rFonts w:asciiTheme="majorHAnsi" w:hAnsiTheme="majorHAnsi"/>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BB1" w:rsidRDefault="004E3BB1" w:rsidP="00EC7D1B">
      <w:r>
        <w:separator/>
      </w:r>
    </w:p>
  </w:footnote>
  <w:footnote w:type="continuationSeparator" w:id="0">
    <w:p w:rsidR="004E3BB1" w:rsidRDefault="004E3BB1" w:rsidP="00EC7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B1" w:rsidRDefault="004E3BB1">
    <w:pPr>
      <w:pStyle w:val="Header"/>
    </w:pPr>
    <w:r>
      <w:rPr>
        <w:rFonts w:ascii="Cambria" w:hAnsi="Cambria" w:cs="Arial"/>
        <w:b/>
        <w:noProof/>
        <w:lang w:val="en-PH" w:eastAsia="ko-KR"/>
      </w:rPr>
      <w:drawing>
        <wp:inline distT="0" distB="0" distL="0" distR="0" wp14:anchorId="072BDACD" wp14:editId="38759149">
          <wp:extent cx="1837267" cy="1065089"/>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79"/>
                  <a:stretch/>
                </pic:blipFill>
                <pic:spPr bwMode="auto">
                  <a:xfrm>
                    <a:off x="0" y="0"/>
                    <a:ext cx="1838325" cy="106570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F69"/>
    <w:multiLevelType w:val="hybridMultilevel"/>
    <w:tmpl w:val="7A78CFFE"/>
    <w:lvl w:ilvl="0" w:tplc="1AF68E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27026E"/>
    <w:multiLevelType w:val="hybridMultilevel"/>
    <w:tmpl w:val="D9A2CED2"/>
    <w:lvl w:ilvl="0" w:tplc="5B40FFE6">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3787A9A"/>
    <w:multiLevelType w:val="hybridMultilevel"/>
    <w:tmpl w:val="D1F41532"/>
    <w:lvl w:ilvl="0" w:tplc="BC0A750E">
      <w:start w:val="1"/>
      <w:numFmt w:val="lowerLetter"/>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1B"/>
    <w:rsid w:val="00045AB9"/>
    <w:rsid w:val="00244B40"/>
    <w:rsid w:val="004E3BB1"/>
    <w:rsid w:val="00506E5C"/>
    <w:rsid w:val="00C6693F"/>
    <w:rsid w:val="00D1566F"/>
    <w:rsid w:val="00EC7D1B"/>
    <w:rsid w:val="00ED212F"/>
    <w:rsid w:val="00F976B4"/>
  </w:rsids>
  <m:mathPr>
    <m:mathFont m:val="Cambria Math"/>
    <m:brkBin m:val="before"/>
    <m:brkBinSub m:val="--"/>
    <m:smallFrac m:val="0"/>
    <m:dispDef/>
    <m:lMargin m:val="0"/>
    <m:rMargin m:val="0"/>
    <m:defJc m:val="centerGroup"/>
    <m:wrapIndent m:val="1440"/>
    <m:intLim m:val="subSup"/>
    <m:naryLim m:val="undOvr"/>
  </m:mathPr>
  <w:themeFontLang w:val="en-PH"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PH"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pPr>
      <w:spacing w:after="0" w:line="240" w:lineRule="auto"/>
    </w:pPr>
    <w:rPr>
      <w:rFonts w:ascii="Times New Roman" w:eastAsia="Times New Roman" w:hAnsi="Times New Roman" w:cs="Times New Roman"/>
      <w:sz w:val="20"/>
      <w:szCs w:val="20"/>
      <w:lang w:val="en-US" w:eastAsia="en-US"/>
    </w:rPr>
  </w:style>
  <w:style w:type="paragraph" w:styleId="Heading5">
    <w:name w:val="heading 5"/>
    <w:basedOn w:val="Normal"/>
    <w:next w:val="Normal"/>
    <w:link w:val="Heading5Char"/>
    <w:qFormat/>
    <w:rsid w:val="00EC7D1B"/>
    <w:pPr>
      <w:keepNext/>
      <w:spacing w:line="240" w:lineRule="atLeast"/>
      <w:jc w:val="center"/>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D1B"/>
    <w:pPr>
      <w:tabs>
        <w:tab w:val="center" w:pos="4680"/>
        <w:tab w:val="right" w:pos="9360"/>
      </w:tabs>
    </w:pPr>
  </w:style>
  <w:style w:type="character" w:customStyle="1" w:styleId="HeaderChar">
    <w:name w:val="Header Char"/>
    <w:basedOn w:val="DefaultParagraphFont"/>
    <w:link w:val="Header"/>
    <w:uiPriority w:val="99"/>
    <w:rsid w:val="00EC7D1B"/>
  </w:style>
  <w:style w:type="paragraph" w:styleId="Footer">
    <w:name w:val="footer"/>
    <w:basedOn w:val="Normal"/>
    <w:link w:val="FooterChar"/>
    <w:uiPriority w:val="99"/>
    <w:unhideWhenUsed/>
    <w:rsid w:val="00EC7D1B"/>
    <w:pPr>
      <w:tabs>
        <w:tab w:val="center" w:pos="4680"/>
        <w:tab w:val="right" w:pos="9360"/>
      </w:tabs>
    </w:pPr>
  </w:style>
  <w:style w:type="character" w:customStyle="1" w:styleId="FooterChar">
    <w:name w:val="Footer Char"/>
    <w:basedOn w:val="DefaultParagraphFont"/>
    <w:link w:val="Footer"/>
    <w:uiPriority w:val="99"/>
    <w:rsid w:val="00EC7D1B"/>
  </w:style>
  <w:style w:type="paragraph" w:styleId="BalloonText">
    <w:name w:val="Balloon Text"/>
    <w:basedOn w:val="Normal"/>
    <w:link w:val="BalloonTextChar"/>
    <w:uiPriority w:val="99"/>
    <w:semiHidden/>
    <w:unhideWhenUsed/>
    <w:rsid w:val="00EC7D1B"/>
    <w:rPr>
      <w:rFonts w:ascii="Tahoma" w:hAnsi="Tahoma" w:cs="Tahoma"/>
      <w:sz w:val="16"/>
      <w:szCs w:val="16"/>
    </w:rPr>
  </w:style>
  <w:style w:type="character" w:customStyle="1" w:styleId="BalloonTextChar">
    <w:name w:val="Balloon Text Char"/>
    <w:basedOn w:val="DefaultParagraphFont"/>
    <w:link w:val="BalloonText"/>
    <w:uiPriority w:val="99"/>
    <w:semiHidden/>
    <w:rsid w:val="00EC7D1B"/>
    <w:rPr>
      <w:rFonts w:ascii="Tahoma" w:hAnsi="Tahoma" w:cs="Tahoma"/>
      <w:sz w:val="16"/>
      <w:szCs w:val="16"/>
    </w:rPr>
  </w:style>
  <w:style w:type="character" w:customStyle="1" w:styleId="Heading5Char">
    <w:name w:val="Heading 5 Char"/>
    <w:basedOn w:val="DefaultParagraphFont"/>
    <w:link w:val="Heading5"/>
    <w:rsid w:val="00EC7D1B"/>
    <w:rPr>
      <w:rFonts w:ascii="Arial" w:eastAsia="Times New Roman" w:hAnsi="Arial" w:cs="Times New Roman"/>
      <w:b/>
      <w:szCs w:val="20"/>
      <w:lang w:val="en-US" w:eastAsia="en-US"/>
    </w:rPr>
  </w:style>
  <w:style w:type="paragraph" w:styleId="BodyText">
    <w:name w:val="Body Text"/>
    <w:basedOn w:val="Normal"/>
    <w:link w:val="BodyTextChar"/>
    <w:rsid w:val="00EC7D1B"/>
    <w:pPr>
      <w:overflowPunct w:val="0"/>
      <w:autoSpaceDE w:val="0"/>
      <w:autoSpaceDN w:val="0"/>
      <w:adjustRightInd w:val="0"/>
      <w:spacing w:line="240" w:lineRule="atLeast"/>
      <w:jc w:val="both"/>
      <w:textAlignment w:val="baseline"/>
    </w:pPr>
    <w:rPr>
      <w:rFonts w:ascii="Arial" w:hAnsi="Arial"/>
    </w:rPr>
  </w:style>
  <w:style w:type="character" w:customStyle="1" w:styleId="BodyTextChar">
    <w:name w:val="Body Text Char"/>
    <w:basedOn w:val="DefaultParagraphFont"/>
    <w:link w:val="BodyText"/>
    <w:rsid w:val="00EC7D1B"/>
    <w:rPr>
      <w:rFonts w:ascii="Arial" w:eastAsia="Times New Roman" w:hAnsi="Arial" w:cs="Times New Roman"/>
      <w:sz w:val="20"/>
      <w:szCs w:val="20"/>
      <w:lang w:val="en-US" w:eastAsia="en-US"/>
    </w:rPr>
  </w:style>
  <w:style w:type="paragraph" w:styleId="Title">
    <w:name w:val="Title"/>
    <w:basedOn w:val="Normal"/>
    <w:link w:val="TitleChar"/>
    <w:qFormat/>
    <w:rsid w:val="00EC7D1B"/>
    <w:pPr>
      <w:spacing w:line="240" w:lineRule="atLeast"/>
      <w:jc w:val="center"/>
    </w:pPr>
    <w:rPr>
      <w:rFonts w:ascii="Arial" w:hAnsi="Arial"/>
      <w:b/>
    </w:rPr>
  </w:style>
  <w:style w:type="character" w:customStyle="1" w:styleId="TitleChar">
    <w:name w:val="Title Char"/>
    <w:basedOn w:val="DefaultParagraphFont"/>
    <w:link w:val="Title"/>
    <w:rsid w:val="00EC7D1B"/>
    <w:rPr>
      <w:rFonts w:ascii="Arial" w:eastAsia="Times New Roman" w:hAnsi="Arial" w:cs="Times New Roman"/>
      <w:b/>
      <w:sz w:val="20"/>
      <w:szCs w:val="20"/>
      <w:lang w:val="en-US" w:eastAsia="en-US"/>
    </w:rPr>
  </w:style>
  <w:style w:type="paragraph" w:styleId="ListParagraph">
    <w:name w:val="List Paragraph"/>
    <w:basedOn w:val="Normal"/>
    <w:uiPriority w:val="34"/>
    <w:qFormat/>
    <w:rsid w:val="00EC7D1B"/>
    <w:pPr>
      <w:ind w:left="720"/>
      <w:contextualSpacing/>
    </w:pPr>
  </w:style>
  <w:style w:type="table" w:styleId="TableGrid">
    <w:name w:val="Table Grid"/>
    <w:basedOn w:val="TableNormal"/>
    <w:uiPriority w:val="59"/>
    <w:rsid w:val="00EC7D1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PH"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pPr>
      <w:spacing w:after="0" w:line="240" w:lineRule="auto"/>
    </w:pPr>
    <w:rPr>
      <w:rFonts w:ascii="Times New Roman" w:eastAsia="Times New Roman" w:hAnsi="Times New Roman" w:cs="Times New Roman"/>
      <w:sz w:val="20"/>
      <w:szCs w:val="20"/>
      <w:lang w:val="en-US" w:eastAsia="en-US"/>
    </w:rPr>
  </w:style>
  <w:style w:type="paragraph" w:styleId="Heading5">
    <w:name w:val="heading 5"/>
    <w:basedOn w:val="Normal"/>
    <w:next w:val="Normal"/>
    <w:link w:val="Heading5Char"/>
    <w:qFormat/>
    <w:rsid w:val="00EC7D1B"/>
    <w:pPr>
      <w:keepNext/>
      <w:spacing w:line="240" w:lineRule="atLeast"/>
      <w:jc w:val="center"/>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D1B"/>
    <w:pPr>
      <w:tabs>
        <w:tab w:val="center" w:pos="4680"/>
        <w:tab w:val="right" w:pos="9360"/>
      </w:tabs>
    </w:pPr>
  </w:style>
  <w:style w:type="character" w:customStyle="1" w:styleId="HeaderChar">
    <w:name w:val="Header Char"/>
    <w:basedOn w:val="DefaultParagraphFont"/>
    <w:link w:val="Header"/>
    <w:uiPriority w:val="99"/>
    <w:rsid w:val="00EC7D1B"/>
  </w:style>
  <w:style w:type="paragraph" w:styleId="Footer">
    <w:name w:val="footer"/>
    <w:basedOn w:val="Normal"/>
    <w:link w:val="FooterChar"/>
    <w:uiPriority w:val="99"/>
    <w:unhideWhenUsed/>
    <w:rsid w:val="00EC7D1B"/>
    <w:pPr>
      <w:tabs>
        <w:tab w:val="center" w:pos="4680"/>
        <w:tab w:val="right" w:pos="9360"/>
      </w:tabs>
    </w:pPr>
  </w:style>
  <w:style w:type="character" w:customStyle="1" w:styleId="FooterChar">
    <w:name w:val="Footer Char"/>
    <w:basedOn w:val="DefaultParagraphFont"/>
    <w:link w:val="Footer"/>
    <w:uiPriority w:val="99"/>
    <w:rsid w:val="00EC7D1B"/>
  </w:style>
  <w:style w:type="paragraph" w:styleId="BalloonText">
    <w:name w:val="Balloon Text"/>
    <w:basedOn w:val="Normal"/>
    <w:link w:val="BalloonTextChar"/>
    <w:uiPriority w:val="99"/>
    <w:semiHidden/>
    <w:unhideWhenUsed/>
    <w:rsid w:val="00EC7D1B"/>
    <w:rPr>
      <w:rFonts w:ascii="Tahoma" w:hAnsi="Tahoma" w:cs="Tahoma"/>
      <w:sz w:val="16"/>
      <w:szCs w:val="16"/>
    </w:rPr>
  </w:style>
  <w:style w:type="character" w:customStyle="1" w:styleId="BalloonTextChar">
    <w:name w:val="Balloon Text Char"/>
    <w:basedOn w:val="DefaultParagraphFont"/>
    <w:link w:val="BalloonText"/>
    <w:uiPriority w:val="99"/>
    <w:semiHidden/>
    <w:rsid w:val="00EC7D1B"/>
    <w:rPr>
      <w:rFonts w:ascii="Tahoma" w:hAnsi="Tahoma" w:cs="Tahoma"/>
      <w:sz w:val="16"/>
      <w:szCs w:val="16"/>
    </w:rPr>
  </w:style>
  <w:style w:type="character" w:customStyle="1" w:styleId="Heading5Char">
    <w:name w:val="Heading 5 Char"/>
    <w:basedOn w:val="DefaultParagraphFont"/>
    <w:link w:val="Heading5"/>
    <w:rsid w:val="00EC7D1B"/>
    <w:rPr>
      <w:rFonts w:ascii="Arial" w:eastAsia="Times New Roman" w:hAnsi="Arial" w:cs="Times New Roman"/>
      <w:b/>
      <w:szCs w:val="20"/>
      <w:lang w:val="en-US" w:eastAsia="en-US"/>
    </w:rPr>
  </w:style>
  <w:style w:type="paragraph" w:styleId="BodyText">
    <w:name w:val="Body Text"/>
    <w:basedOn w:val="Normal"/>
    <w:link w:val="BodyTextChar"/>
    <w:rsid w:val="00EC7D1B"/>
    <w:pPr>
      <w:overflowPunct w:val="0"/>
      <w:autoSpaceDE w:val="0"/>
      <w:autoSpaceDN w:val="0"/>
      <w:adjustRightInd w:val="0"/>
      <w:spacing w:line="240" w:lineRule="atLeast"/>
      <w:jc w:val="both"/>
      <w:textAlignment w:val="baseline"/>
    </w:pPr>
    <w:rPr>
      <w:rFonts w:ascii="Arial" w:hAnsi="Arial"/>
    </w:rPr>
  </w:style>
  <w:style w:type="character" w:customStyle="1" w:styleId="BodyTextChar">
    <w:name w:val="Body Text Char"/>
    <w:basedOn w:val="DefaultParagraphFont"/>
    <w:link w:val="BodyText"/>
    <w:rsid w:val="00EC7D1B"/>
    <w:rPr>
      <w:rFonts w:ascii="Arial" w:eastAsia="Times New Roman" w:hAnsi="Arial" w:cs="Times New Roman"/>
      <w:sz w:val="20"/>
      <w:szCs w:val="20"/>
      <w:lang w:val="en-US" w:eastAsia="en-US"/>
    </w:rPr>
  </w:style>
  <w:style w:type="paragraph" w:styleId="Title">
    <w:name w:val="Title"/>
    <w:basedOn w:val="Normal"/>
    <w:link w:val="TitleChar"/>
    <w:qFormat/>
    <w:rsid w:val="00EC7D1B"/>
    <w:pPr>
      <w:spacing w:line="240" w:lineRule="atLeast"/>
      <w:jc w:val="center"/>
    </w:pPr>
    <w:rPr>
      <w:rFonts w:ascii="Arial" w:hAnsi="Arial"/>
      <w:b/>
    </w:rPr>
  </w:style>
  <w:style w:type="character" w:customStyle="1" w:styleId="TitleChar">
    <w:name w:val="Title Char"/>
    <w:basedOn w:val="DefaultParagraphFont"/>
    <w:link w:val="Title"/>
    <w:rsid w:val="00EC7D1B"/>
    <w:rPr>
      <w:rFonts w:ascii="Arial" w:eastAsia="Times New Roman" w:hAnsi="Arial" w:cs="Times New Roman"/>
      <w:b/>
      <w:sz w:val="20"/>
      <w:szCs w:val="20"/>
      <w:lang w:val="en-US" w:eastAsia="en-US"/>
    </w:rPr>
  </w:style>
  <w:style w:type="paragraph" w:styleId="ListParagraph">
    <w:name w:val="List Paragraph"/>
    <w:basedOn w:val="Normal"/>
    <w:uiPriority w:val="34"/>
    <w:qFormat/>
    <w:rsid w:val="00EC7D1B"/>
    <w:pPr>
      <w:ind w:left="720"/>
      <w:contextualSpacing/>
    </w:pPr>
  </w:style>
  <w:style w:type="table" w:styleId="TableGrid">
    <w:name w:val="Table Grid"/>
    <w:basedOn w:val="TableNormal"/>
    <w:uiPriority w:val="59"/>
    <w:rsid w:val="00EC7D1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Ituralde, Eureca Laurice</dc:creator>
  <cp:lastModifiedBy>Ituralde, Eureca Laurice</cp:lastModifiedBy>
  <cp:revision>6</cp:revision>
  <cp:lastPrinted>2017-11-24T10:22:00Z</cp:lastPrinted>
  <dcterms:created xsi:type="dcterms:W3CDTF">2017-11-22T07:51:00Z</dcterms:created>
  <dcterms:modified xsi:type="dcterms:W3CDTF">2017-11-24T10:33:00Z</dcterms:modified>
</cp:coreProperties>
</file>